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8FE" w:rsidRDefault="00D7794E">
      <w:pPr>
        <w:pStyle w:val="normal0"/>
        <w:jc w:val="center"/>
        <w:rPr>
          <w:b/>
          <w:sz w:val="24"/>
          <w:szCs w:val="24"/>
        </w:rPr>
      </w:pPr>
      <w:r>
        <w:rPr>
          <w:b/>
          <w:sz w:val="24"/>
          <w:szCs w:val="24"/>
        </w:rPr>
        <w:t xml:space="preserve">Delhi’s peak power demand clocks </w:t>
      </w:r>
      <w:r w:rsidR="00226E79">
        <w:rPr>
          <w:b/>
          <w:sz w:val="24"/>
          <w:szCs w:val="24"/>
        </w:rPr>
        <w:t>7</w:t>
      </w:r>
      <w:r w:rsidR="003262FB">
        <w:rPr>
          <w:b/>
          <w:sz w:val="24"/>
          <w:szCs w:val="24"/>
        </w:rPr>
        <w:t>7</w:t>
      </w:r>
      <w:r w:rsidR="00031E32">
        <w:rPr>
          <w:b/>
          <w:sz w:val="24"/>
          <w:szCs w:val="24"/>
        </w:rPr>
        <w:t>17</w:t>
      </w:r>
      <w:r>
        <w:rPr>
          <w:b/>
          <w:sz w:val="24"/>
          <w:szCs w:val="24"/>
        </w:rPr>
        <w:t xml:space="preserve"> MW, highest ever in </w:t>
      </w:r>
      <w:r w:rsidR="00226E79">
        <w:rPr>
          <w:b/>
          <w:sz w:val="24"/>
          <w:szCs w:val="24"/>
        </w:rPr>
        <w:t>the history of Delhi</w:t>
      </w:r>
    </w:p>
    <w:p w:rsidR="00A41622" w:rsidRPr="00184F81" w:rsidRDefault="00226E79">
      <w:pPr>
        <w:pStyle w:val="normal0"/>
        <w:jc w:val="center"/>
        <w:rPr>
          <w:b/>
        </w:rPr>
      </w:pPr>
      <w:r w:rsidRPr="00184F81">
        <w:rPr>
          <w:b/>
        </w:rPr>
        <w:t xml:space="preserve">Yesterday, Delhi’s peak power demand clocked 7572 MW – higher ever in May in the afternoon, breaking </w:t>
      </w:r>
      <w:r w:rsidR="00184F81" w:rsidRPr="00184F81">
        <w:rPr>
          <w:b/>
        </w:rPr>
        <w:t xml:space="preserve">the </w:t>
      </w:r>
      <w:r w:rsidR="00A41622" w:rsidRPr="00184F81">
        <w:rPr>
          <w:b/>
        </w:rPr>
        <w:t>record of peak power demand of 2023 – 7438 MW</w:t>
      </w:r>
    </w:p>
    <w:p w:rsidR="00226E79" w:rsidRPr="00184F81" w:rsidRDefault="00F00230">
      <w:pPr>
        <w:pStyle w:val="normal0"/>
        <w:jc w:val="center"/>
        <w:rPr>
          <w:b/>
        </w:rPr>
      </w:pPr>
      <w:r w:rsidRPr="00184F81">
        <w:rPr>
          <w:b/>
        </w:rPr>
        <w:t>Just hours later at 23:37 pm, Delhi’s peak power demand clocked 7591 MW</w:t>
      </w:r>
    </w:p>
    <w:p w:rsidR="0073336D" w:rsidRPr="00184F81" w:rsidRDefault="0073336D">
      <w:pPr>
        <w:pStyle w:val="normal0"/>
        <w:jc w:val="center"/>
        <w:rPr>
          <w:b/>
        </w:rPr>
      </w:pPr>
      <w:r w:rsidRPr="00184F81">
        <w:rPr>
          <w:b/>
        </w:rPr>
        <w:t>Delhi’s all time high peak power demand was recorded on June 29, 2022 – 7695 MW</w:t>
      </w:r>
    </w:p>
    <w:p w:rsidR="009660F9" w:rsidRPr="00184F81" w:rsidRDefault="00F00230">
      <w:pPr>
        <w:pStyle w:val="normal0"/>
        <w:jc w:val="center"/>
        <w:rPr>
          <w:b/>
        </w:rPr>
      </w:pPr>
      <w:r w:rsidRPr="00184F81">
        <w:rPr>
          <w:b/>
        </w:rPr>
        <w:t xml:space="preserve">Fourth </w:t>
      </w:r>
      <w:r w:rsidR="0073336D" w:rsidRPr="00184F81">
        <w:rPr>
          <w:b/>
        </w:rPr>
        <w:t>day in a row Delhi’s peak power demand crosses 7000 MW</w:t>
      </w:r>
    </w:p>
    <w:p w:rsidR="008568FE" w:rsidRDefault="00E41F4F">
      <w:pPr>
        <w:pStyle w:val="normal0"/>
        <w:jc w:val="center"/>
        <w:rPr>
          <w:b/>
        </w:rPr>
      </w:pPr>
      <w:r>
        <w:rPr>
          <w:b/>
        </w:rPr>
        <w:t xml:space="preserve">Highest peak power demand in May of 2023 was 6916 MW </w:t>
      </w:r>
      <w:r w:rsidR="0073336D">
        <w:rPr>
          <w:b/>
        </w:rPr>
        <w:t>and 7070 in May of 2022</w:t>
      </w:r>
    </w:p>
    <w:p w:rsidR="008568FE" w:rsidRDefault="00D7794E">
      <w:pPr>
        <w:pStyle w:val="normal0"/>
        <w:jc w:val="center"/>
        <w:rPr>
          <w:b/>
        </w:rPr>
      </w:pPr>
      <w:r>
        <w:rPr>
          <w:b/>
        </w:rPr>
        <w:t>BRPL and BYPL successfully met the peak power demand</w:t>
      </w:r>
      <w:r w:rsidR="008D6261">
        <w:rPr>
          <w:b/>
        </w:rPr>
        <w:t xml:space="preserve"> </w:t>
      </w:r>
      <w:r w:rsidR="00184F81">
        <w:rPr>
          <w:b/>
        </w:rPr>
        <w:t>in their respective areas</w:t>
      </w:r>
    </w:p>
    <w:p w:rsidR="00A465F2" w:rsidRDefault="00A465F2" w:rsidP="00A465F2">
      <w:pPr>
        <w:autoSpaceDE w:val="0"/>
        <w:autoSpaceDN w:val="0"/>
        <w:adjustRightInd w:val="0"/>
        <w:jc w:val="center"/>
        <w:rPr>
          <w:rFonts w:eastAsiaTheme="minorHAnsi"/>
          <w:b/>
          <w:bCs/>
          <w:color w:val="000000"/>
        </w:rPr>
      </w:pPr>
      <w:r>
        <w:rPr>
          <w:rFonts w:eastAsiaTheme="minorHAnsi"/>
          <w:b/>
          <w:bCs/>
          <w:color w:val="000000"/>
        </w:rPr>
        <w:t>For the 1</w:t>
      </w:r>
      <w:r>
        <w:rPr>
          <w:rFonts w:eastAsiaTheme="minorHAnsi"/>
          <w:b/>
          <w:bCs/>
          <w:color w:val="000000"/>
          <w:vertAlign w:val="superscript"/>
        </w:rPr>
        <w:t>st</w:t>
      </w:r>
      <w:r>
        <w:rPr>
          <w:rFonts w:eastAsiaTheme="minorHAnsi"/>
          <w:b/>
          <w:bCs/>
          <w:color w:val="000000"/>
        </w:rPr>
        <w:t xml:space="preserve"> time, Delhi’s peak power demand likely to cross 8000 MW</w:t>
      </w:r>
    </w:p>
    <w:p w:rsidR="00A465F2" w:rsidRDefault="00A465F2" w:rsidP="00A465F2">
      <w:pPr>
        <w:autoSpaceDE w:val="0"/>
        <w:autoSpaceDN w:val="0"/>
        <w:adjustRightInd w:val="0"/>
        <w:jc w:val="center"/>
        <w:rPr>
          <w:rFonts w:eastAsiaTheme="minorHAnsi"/>
          <w:b/>
          <w:bCs/>
          <w:color w:val="000000"/>
        </w:rPr>
      </w:pPr>
      <w:r>
        <w:rPr>
          <w:rFonts w:eastAsiaTheme="minorHAnsi"/>
          <w:b/>
          <w:bCs/>
          <w:color w:val="000000"/>
        </w:rPr>
        <w:t>~2100 MW of green power to play an important role in ‘Powering Delhi and Empowering consumers during’ summer months</w:t>
      </w:r>
    </w:p>
    <w:p w:rsidR="00A465F2" w:rsidRPr="00A465F2" w:rsidRDefault="00A465F2" w:rsidP="00A465F2">
      <w:pPr>
        <w:autoSpaceDE w:val="0"/>
        <w:autoSpaceDN w:val="0"/>
        <w:adjustRightInd w:val="0"/>
        <w:jc w:val="center"/>
        <w:rPr>
          <w:rFonts w:asciiTheme="majorHAnsi" w:hAnsiTheme="majorHAnsi" w:cstheme="majorHAnsi"/>
          <w:b/>
          <w:color w:val="000000"/>
          <w:lang w:eastAsia="en-IN"/>
        </w:rPr>
      </w:pPr>
      <w:r w:rsidRPr="00A465F2">
        <w:rPr>
          <w:rFonts w:asciiTheme="majorHAnsi" w:hAnsiTheme="majorHAnsi" w:cstheme="majorHAnsi"/>
          <w:b/>
          <w:color w:val="000000"/>
          <w:lang w:eastAsia="en-IN"/>
        </w:rPr>
        <w:t xml:space="preserve">During the year, BSES </w:t>
      </w:r>
      <w:proofErr w:type="spellStart"/>
      <w:r w:rsidRPr="00A465F2">
        <w:rPr>
          <w:rFonts w:asciiTheme="majorHAnsi" w:hAnsiTheme="majorHAnsi" w:cstheme="majorHAnsi"/>
          <w:b/>
          <w:color w:val="000000"/>
          <w:lang w:eastAsia="en-IN"/>
        </w:rPr>
        <w:t>discoms</w:t>
      </w:r>
      <w:proofErr w:type="spellEnd"/>
      <w:r w:rsidRPr="00A465F2">
        <w:rPr>
          <w:rFonts w:asciiTheme="majorHAnsi" w:hAnsiTheme="majorHAnsi" w:cstheme="majorHAnsi"/>
          <w:b/>
          <w:color w:val="000000"/>
          <w:lang w:eastAsia="en-IN"/>
        </w:rPr>
        <w:t xml:space="preserve"> invested substantial resources to strengthen the network</w:t>
      </w:r>
    </w:p>
    <w:p w:rsidR="00A465F2" w:rsidRDefault="00A465F2" w:rsidP="00A465F2">
      <w:pPr>
        <w:autoSpaceDE w:val="0"/>
        <w:autoSpaceDN w:val="0"/>
        <w:adjustRightInd w:val="0"/>
        <w:jc w:val="center"/>
        <w:rPr>
          <w:b/>
          <w:bCs/>
          <w:color w:val="000000"/>
          <w:lang w:eastAsia="en-IN"/>
        </w:rPr>
      </w:pPr>
      <w:r w:rsidRPr="009E314B">
        <w:rPr>
          <w:b/>
          <w:bCs/>
          <w:color w:val="000000"/>
          <w:lang w:eastAsia="en-IN"/>
        </w:rPr>
        <w:t xml:space="preserve">Extensive predictive </w:t>
      </w:r>
      <w:r>
        <w:rPr>
          <w:b/>
          <w:bCs/>
          <w:color w:val="000000"/>
          <w:lang w:eastAsia="en-IN"/>
        </w:rPr>
        <w:t xml:space="preserve">/ preventing </w:t>
      </w:r>
      <w:r w:rsidRPr="009E314B">
        <w:rPr>
          <w:b/>
          <w:bCs/>
          <w:color w:val="000000"/>
          <w:lang w:eastAsia="en-IN"/>
        </w:rPr>
        <w:t xml:space="preserve">checks like thermo </w:t>
      </w:r>
      <w:r>
        <w:rPr>
          <w:b/>
          <w:bCs/>
          <w:color w:val="000000"/>
          <w:lang w:eastAsia="en-IN"/>
        </w:rPr>
        <w:t>scanning to help identify potential ‘hot-spots’ and take remedial measures</w:t>
      </w:r>
    </w:p>
    <w:p w:rsidR="008568FE" w:rsidRDefault="003B38BB" w:rsidP="003B38BB">
      <w:pPr>
        <w:pStyle w:val="normal0"/>
        <w:numPr>
          <w:ilvl w:val="0"/>
          <w:numId w:val="2"/>
        </w:numPr>
        <w:pBdr>
          <w:top w:val="nil"/>
          <w:left w:val="nil"/>
          <w:bottom w:val="nil"/>
          <w:right w:val="nil"/>
          <w:between w:val="nil"/>
        </w:pBdr>
        <w:spacing w:after="0"/>
        <w:jc w:val="both"/>
        <w:rPr>
          <w:rFonts w:asciiTheme="majorHAnsi" w:hAnsiTheme="majorHAnsi" w:cstheme="majorHAnsi"/>
          <w:color w:val="000000"/>
        </w:rPr>
      </w:pPr>
      <w:r w:rsidRPr="00226E79">
        <w:rPr>
          <w:rFonts w:asciiTheme="majorHAnsi" w:hAnsiTheme="majorHAnsi" w:cstheme="majorHAnsi"/>
          <w:color w:val="000000"/>
        </w:rPr>
        <w:t xml:space="preserve">The extreme </w:t>
      </w:r>
      <w:proofErr w:type="spellStart"/>
      <w:r w:rsidRPr="00226E79">
        <w:rPr>
          <w:rFonts w:asciiTheme="majorHAnsi" w:hAnsiTheme="majorHAnsi" w:cstheme="majorHAnsi"/>
          <w:color w:val="000000"/>
        </w:rPr>
        <w:t>heatwave</w:t>
      </w:r>
      <w:proofErr w:type="spellEnd"/>
      <w:r w:rsidRPr="00226E79">
        <w:rPr>
          <w:rFonts w:asciiTheme="majorHAnsi" w:hAnsiTheme="majorHAnsi" w:cstheme="majorHAnsi"/>
          <w:color w:val="000000"/>
        </w:rPr>
        <w:t xml:space="preserve"> continues to push Delhi’s power demand northwards. </w:t>
      </w:r>
      <w:r w:rsidR="00D7794E" w:rsidRPr="00226E79">
        <w:rPr>
          <w:rFonts w:asciiTheme="majorHAnsi" w:hAnsiTheme="majorHAnsi" w:cstheme="majorHAnsi"/>
          <w:b/>
          <w:color w:val="000000"/>
          <w:highlight w:val="yellow"/>
        </w:rPr>
        <w:t>According to the SLDC data</w:t>
      </w:r>
      <w:r w:rsidR="00D7794E" w:rsidRPr="00226E79">
        <w:rPr>
          <w:rFonts w:asciiTheme="majorHAnsi" w:hAnsiTheme="majorHAnsi" w:cstheme="majorHAnsi"/>
          <w:color w:val="000000"/>
        </w:rPr>
        <w:t xml:space="preserve">, at </w:t>
      </w:r>
      <w:r w:rsidR="00E27A50" w:rsidRPr="00226E79">
        <w:rPr>
          <w:rFonts w:asciiTheme="majorHAnsi" w:hAnsiTheme="majorHAnsi" w:cstheme="majorHAnsi"/>
          <w:color w:val="000000"/>
        </w:rPr>
        <w:t>15:</w:t>
      </w:r>
      <w:r w:rsidR="00031E32">
        <w:rPr>
          <w:rFonts w:asciiTheme="majorHAnsi" w:hAnsiTheme="majorHAnsi" w:cstheme="majorHAnsi"/>
          <w:color w:val="000000"/>
        </w:rPr>
        <w:t>3</w:t>
      </w:r>
      <w:r w:rsidR="003262FB">
        <w:rPr>
          <w:rFonts w:asciiTheme="majorHAnsi" w:hAnsiTheme="majorHAnsi" w:cstheme="majorHAnsi"/>
          <w:color w:val="000000"/>
        </w:rPr>
        <w:t>3</w:t>
      </w:r>
      <w:r w:rsidR="00012806" w:rsidRPr="00226E79">
        <w:rPr>
          <w:rFonts w:asciiTheme="majorHAnsi" w:hAnsiTheme="majorHAnsi" w:cstheme="majorHAnsi"/>
          <w:color w:val="000000"/>
        </w:rPr>
        <w:t xml:space="preserve"> </w:t>
      </w:r>
      <w:r w:rsidR="00D7794E" w:rsidRPr="00226E79">
        <w:rPr>
          <w:rFonts w:asciiTheme="majorHAnsi" w:hAnsiTheme="majorHAnsi" w:cstheme="majorHAnsi"/>
          <w:color w:val="000000"/>
        </w:rPr>
        <w:t xml:space="preserve">pm </w:t>
      </w:r>
      <w:r w:rsidR="0073336D" w:rsidRPr="00226E79">
        <w:rPr>
          <w:rFonts w:asciiTheme="majorHAnsi" w:hAnsiTheme="majorHAnsi" w:cstheme="majorHAnsi"/>
          <w:color w:val="000000"/>
        </w:rPr>
        <w:t>today</w:t>
      </w:r>
      <w:r w:rsidR="00226E79" w:rsidRPr="00226E79">
        <w:rPr>
          <w:rFonts w:asciiTheme="majorHAnsi" w:hAnsiTheme="majorHAnsi" w:cstheme="majorHAnsi"/>
          <w:color w:val="000000"/>
        </w:rPr>
        <w:t xml:space="preserve">, Delhi’s peak power demand </w:t>
      </w:r>
      <w:r w:rsidR="00D7794E" w:rsidRPr="00226E79">
        <w:rPr>
          <w:rFonts w:asciiTheme="majorHAnsi" w:hAnsiTheme="majorHAnsi" w:cstheme="majorHAnsi"/>
          <w:color w:val="000000"/>
        </w:rPr>
        <w:t xml:space="preserve">clocked </w:t>
      </w:r>
      <w:r w:rsidR="00226E79" w:rsidRPr="00226E79">
        <w:rPr>
          <w:rFonts w:asciiTheme="majorHAnsi" w:hAnsiTheme="majorHAnsi" w:cstheme="majorHAnsi"/>
          <w:color w:val="000000"/>
        </w:rPr>
        <w:t>7</w:t>
      </w:r>
      <w:r w:rsidR="003262FB">
        <w:rPr>
          <w:rFonts w:asciiTheme="majorHAnsi" w:hAnsiTheme="majorHAnsi" w:cstheme="majorHAnsi"/>
          <w:color w:val="000000"/>
        </w:rPr>
        <w:t>7</w:t>
      </w:r>
      <w:r w:rsidR="00031E32">
        <w:rPr>
          <w:rFonts w:asciiTheme="majorHAnsi" w:hAnsiTheme="majorHAnsi" w:cstheme="majorHAnsi"/>
          <w:color w:val="000000"/>
        </w:rPr>
        <w:t>17</w:t>
      </w:r>
      <w:r w:rsidR="00226E79" w:rsidRPr="00226E79">
        <w:rPr>
          <w:rFonts w:asciiTheme="majorHAnsi" w:hAnsiTheme="majorHAnsi" w:cstheme="majorHAnsi"/>
          <w:color w:val="000000"/>
        </w:rPr>
        <w:t xml:space="preserve"> </w:t>
      </w:r>
      <w:r w:rsidR="00D7794E" w:rsidRPr="00226E79">
        <w:rPr>
          <w:rFonts w:asciiTheme="majorHAnsi" w:hAnsiTheme="majorHAnsi" w:cstheme="majorHAnsi"/>
          <w:color w:val="000000"/>
        </w:rPr>
        <w:t xml:space="preserve">MW; highest ever </w:t>
      </w:r>
      <w:r w:rsidR="00464D3F" w:rsidRPr="00226E79">
        <w:rPr>
          <w:rFonts w:asciiTheme="majorHAnsi" w:hAnsiTheme="majorHAnsi" w:cstheme="majorHAnsi"/>
          <w:color w:val="000000"/>
        </w:rPr>
        <w:t xml:space="preserve">in </w:t>
      </w:r>
      <w:r w:rsidR="00226E79" w:rsidRPr="00226E79">
        <w:rPr>
          <w:rFonts w:asciiTheme="majorHAnsi" w:hAnsiTheme="majorHAnsi" w:cstheme="majorHAnsi"/>
          <w:color w:val="000000"/>
        </w:rPr>
        <w:t xml:space="preserve">the history of the national capital. </w:t>
      </w:r>
      <w:r w:rsidR="00D7794E" w:rsidRPr="00226E79">
        <w:rPr>
          <w:rFonts w:asciiTheme="majorHAnsi" w:hAnsiTheme="majorHAnsi" w:cstheme="majorHAnsi"/>
          <w:color w:val="000000"/>
        </w:rPr>
        <w:t xml:space="preserve">On their part, BRPL and BYPL successfully met the peak power demand </w:t>
      </w:r>
      <w:r w:rsidR="00E466E5" w:rsidRPr="00226E79">
        <w:rPr>
          <w:rFonts w:asciiTheme="majorHAnsi" w:hAnsiTheme="majorHAnsi" w:cstheme="majorHAnsi"/>
          <w:color w:val="000000"/>
        </w:rPr>
        <w:t xml:space="preserve">in their respective areas. </w:t>
      </w:r>
    </w:p>
    <w:p w:rsidR="00226E79" w:rsidRDefault="00226E79" w:rsidP="00226E79">
      <w:pPr>
        <w:pStyle w:val="normal0"/>
        <w:pBdr>
          <w:top w:val="nil"/>
          <w:left w:val="nil"/>
          <w:bottom w:val="nil"/>
          <w:right w:val="nil"/>
          <w:between w:val="nil"/>
        </w:pBdr>
        <w:spacing w:after="0"/>
        <w:jc w:val="both"/>
        <w:rPr>
          <w:rFonts w:asciiTheme="majorHAnsi" w:hAnsiTheme="majorHAnsi" w:cstheme="majorHAnsi"/>
          <w:color w:val="000000"/>
        </w:rPr>
      </w:pPr>
    </w:p>
    <w:p w:rsidR="00226E79" w:rsidRPr="00226E79" w:rsidRDefault="00226E79" w:rsidP="00226E79">
      <w:pPr>
        <w:pStyle w:val="normal0"/>
        <w:numPr>
          <w:ilvl w:val="0"/>
          <w:numId w:val="3"/>
        </w:numPr>
        <w:pBdr>
          <w:top w:val="nil"/>
          <w:left w:val="nil"/>
          <w:bottom w:val="nil"/>
          <w:right w:val="nil"/>
          <w:between w:val="nil"/>
        </w:pBdr>
        <w:spacing w:after="0"/>
        <w:jc w:val="both"/>
        <w:rPr>
          <w:rFonts w:asciiTheme="majorHAnsi" w:hAnsiTheme="majorHAnsi" w:cstheme="majorHAnsi"/>
          <w:color w:val="000000"/>
        </w:rPr>
      </w:pPr>
      <w:r>
        <w:rPr>
          <w:rFonts w:asciiTheme="majorHAnsi" w:hAnsiTheme="majorHAnsi" w:cstheme="majorHAnsi"/>
          <w:color w:val="000000"/>
        </w:rPr>
        <w:t xml:space="preserve">Yesterday, Delhi’s peak power demand clocked 7572 MW, highest ever in the month of May.  This record too was broken just hours later – 7591 MW at 23:37 MW. </w:t>
      </w:r>
    </w:p>
    <w:p w:rsidR="008568FE" w:rsidRPr="003B38BB" w:rsidRDefault="008568FE">
      <w:pPr>
        <w:pStyle w:val="normal0"/>
        <w:pBdr>
          <w:top w:val="nil"/>
          <w:left w:val="nil"/>
          <w:bottom w:val="nil"/>
          <w:right w:val="nil"/>
          <w:between w:val="nil"/>
        </w:pBdr>
        <w:spacing w:after="0"/>
        <w:ind w:left="720"/>
        <w:jc w:val="both"/>
        <w:rPr>
          <w:rFonts w:asciiTheme="majorHAnsi" w:hAnsiTheme="majorHAnsi" w:cstheme="majorHAnsi"/>
          <w:color w:val="000000"/>
        </w:rPr>
      </w:pPr>
    </w:p>
    <w:p w:rsidR="003B38BB" w:rsidRPr="0073336D" w:rsidRDefault="0073336D" w:rsidP="003B38BB">
      <w:pPr>
        <w:pStyle w:val="normal0"/>
        <w:numPr>
          <w:ilvl w:val="0"/>
          <w:numId w:val="2"/>
        </w:numPr>
        <w:pBdr>
          <w:top w:val="nil"/>
          <w:left w:val="nil"/>
          <w:bottom w:val="nil"/>
          <w:right w:val="nil"/>
          <w:between w:val="nil"/>
        </w:pBdr>
        <w:spacing w:after="0"/>
        <w:jc w:val="both"/>
      </w:pPr>
      <w:r>
        <w:rPr>
          <w:color w:val="000000"/>
        </w:rPr>
        <w:t xml:space="preserve">This is the </w:t>
      </w:r>
      <w:r w:rsidR="00226E79">
        <w:rPr>
          <w:color w:val="000000"/>
        </w:rPr>
        <w:t xml:space="preserve">fourth </w:t>
      </w:r>
      <w:r>
        <w:rPr>
          <w:color w:val="000000"/>
        </w:rPr>
        <w:t xml:space="preserve">day in a row Delhi’s peak power demand has crossed the 7000 MW and broken the previous </w:t>
      </w:r>
      <w:r w:rsidR="003B38BB" w:rsidRPr="003B38BB">
        <w:rPr>
          <w:color w:val="000000"/>
        </w:rPr>
        <w:t xml:space="preserve">all time </w:t>
      </w:r>
      <w:r>
        <w:rPr>
          <w:color w:val="000000"/>
        </w:rPr>
        <w:t xml:space="preserve">May </w:t>
      </w:r>
      <w:r w:rsidR="003B38BB" w:rsidRPr="003B38BB">
        <w:rPr>
          <w:color w:val="000000"/>
        </w:rPr>
        <w:t xml:space="preserve">high </w:t>
      </w:r>
      <w:r>
        <w:rPr>
          <w:color w:val="000000"/>
        </w:rPr>
        <w:t xml:space="preserve">of </w:t>
      </w:r>
      <w:r w:rsidR="003B38BB" w:rsidRPr="003B38BB">
        <w:rPr>
          <w:color w:val="000000"/>
        </w:rPr>
        <w:t>7070 MW, recorded on May 19, 2022.</w:t>
      </w:r>
    </w:p>
    <w:p w:rsidR="0073336D" w:rsidRDefault="0073336D" w:rsidP="0073336D">
      <w:pPr>
        <w:pStyle w:val="normal0"/>
        <w:pBdr>
          <w:top w:val="nil"/>
          <w:left w:val="nil"/>
          <w:bottom w:val="nil"/>
          <w:right w:val="nil"/>
          <w:between w:val="nil"/>
        </w:pBdr>
        <w:spacing w:after="0"/>
        <w:ind w:left="720"/>
        <w:jc w:val="both"/>
        <w:rPr>
          <w:color w:val="000000"/>
        </w:rPr>
      </w:pPr>
    </w:p>
    <w:p w:rsidR="003B38BB" w:rsidRDefault="00D7794E" w:rsidP="003B38BB">
      <w:pPr>
        <w:pStyle w:val="normal0"/>
        <w:numPr>
          <w:ilvl w:val="0"/>
          <w:numId w:val="2"/>
        </w:numPr>
        <w:pBdr>
          <w:top w:val="nil"/>
          <w:left w:val="nil"/>
          <w:bottom w:val="nil"/>
          <w:right w:val="nil"/>
          <w:between w:val="nil"/>
        </w:pBdr>
        <w:spacing w:after="0"/>
        <w:jc w:val="both"/>
        <w:rPr>
          <w:color w:val="000000"/>
        </w:rPr>
      </w:pPr>
      <w:r>
        <w:rPr>
          <w:color w:val="000000"/>
        </w:rPr>
        <w:t>It is worthwhile to note that on each of the days of May 2024 so far, Delhi’s peak power demand is more than t</w:t>
      </w:r>
      <w:r w:rsidR="003B38BB">
        <w:rPr>
          <w:color w:val="000000"/>
        </w:rPr>
        <w:t xml:space="preserve">hat of May 2023. In the first </w:t>
      </w:r>
      <w:r w:rsidR="002051CF">
        <w:rPr>
          <w:color w:val="000000"/>
        </w:rPr>
        <w:t xml:space="preserve">20 </w:t>
      </w:r>
      <w:r>
        <w:rPr>
          <w:color w:val="000000"/>
        </w:rPr>
        <w:t xml:space="preserve">days of May last year, Delhi’s peak power demand had clocked 5781 MW last year. </w:t>
      </w:r>
      <w:r w:rsidR="003B38BB">
        <w:rPr>
          <w:color w:val="000000"/>
        </w:rPr>
        <w:t xml:space="preserve"> The highest peak power demand recorded in May of 2023 was 6916 MW, recorded on May 23.</w:t>
      </w:r>
    </w:p>
    <w:p w:rsidR="008568FE" w:rsidRDefault="008568FE">
      <w:pPr>
        <w:pStyle w:val="normal0"/>
        <w:pBdr>
          <w:top w:val="nil"/>
          <w:left w:val="nil"/>
          <w:bottom w:val="nil"/>
          <w:right w:val="nil"/>
          <w:between w:val="nil"/>
        </w:pBdr>
        <w:spacing w:after="0"/>
        <w:ind w:left="720"/>
        <w:jc w:val="both"/>
        <w:rPr>
          <w:color w:val="000000"/>
        </w:rPr>
      </w:pPr>
    </w:p>
    <w:p w:rsidR="008568FE" w:rsidRDefault="00D7794E">
      <w:pPr>
        <w:pStyle w:val="normal0"/>
        <w:numPr>
          <w:ilvl w:val="0"/>
          <w:numId w:val="2"/>
        </w:numPr>
        <w:pBdr>
          <w:top w:val="nil"/>
          <w:left w:val="nil"/>
          <w:bottom w:val="nil"/>
          <w:right w:val="nil"/>
          <w:between w:val="nil"/>
        </w:pBdr>
        <w:spacing w:after="0"/>
        <w:jc w:val="both"/>
        <w:rPr>
          <w:color w:val="000000"/>
        </w:rPr>
      </w:pPr>
      <w:r>
        <w:rPr>
          <w:color w:val="000000"/>
        </w:rPr>
        <w:t>In fact, during April 2024, the peak power demand was higher on 83% of the corresponding days compared to April 2023, with a difference of up to 32%. This disparity highlights the profound impact that weather can have on a city's power consumption patterns.</w:t>
      </w:r>
    </w:p>
    <w:p w:rsidR="008568FE" w:rsidRDefault="008568FE">
      <w:pPr>
        <w:pStyle w:val="normal0"/>
        <w:pBdr>
          <w:top w:val="nil"/>
          <w:left w:val="nil"/>
          <w:bottom w:val="nil"/>
          <w:right w:val="nil"/>
          <w:between w:val="nil"/>
        </w:pBdr>
        <w:spacing w:after="0"/>
        <w:ind w:left="720"/>
        <w:rPr>
          <w:color w:val="000000"/>
        </w:rPr>
      </w:pPr>
    </w:p>
    <w:p w:rsidR="008568FE" w:rsidRDefault="00D7794E">
      <w:pPr>
        <w:pStyle w:val="normal0"/>
        <w:numPr>
          <w:ilvl w:val="0"/>
          <w:numId w:val="2"/>
        </w:numPr>
        <w:pBdr>
          <w:top w:val="nil"/>
          <w:left w:val="nil"/>
          <w:bottom w:val="nil"/>
          <w:right w:val="nil"/>
          <w:between w:val="nil"/>
        </w:pBdr>
        <w:jc w:val="both"/>
        <w:rPr>
          <w:color w:val="000000"/>
        </w:rPr>
      </w:pPr>
      <w:r>
        <w:rPr>
          <w:color w:val="000000"/>
        </w:rPr>
        <w:lastRenderedPageBreak/>
        <w:t xml:space="preserve">The power demand can be attributed to weather conditions that led residents to use more air conditioning / coolers, leading to an increase in electricity consumption. </w:t>
      </w:r>
      <w:r>
        <w:rPr>
          <w:color w:val="000000"/>
          <w:highlight w:val="white"/>
        </w:rPr>
        <w:t>It is interesting to know you know</w:t>
      </w:r>
      <w:proofErr w:type="gramStart"/>
      <w:r>
        <w:rPr>
          <w:color w:val="000000"/>
          <w:highlight w:val="white"/>
        </w:rPr>
        <w:t>,</w:t>
      </w:r>
      <w:proofErr w:type="gramEnd"/>
      <w:r>
        <w:rPr>
          <w:color w:val="000000"/>
          <w:highlight w:val="white"/>
        </w:rPr>
        <w:t xml:space="preserve"> air conditioning can contribute to 30-50% of a household's or company's yearly energy expense?</w:t>
      </w:r>
    </w:p>
    <w:p w:rsidR="0073336D" w:rsidRDefault="0073336D" w:rsidP="0073336D">
      <w:pPr>
        <w:pStyle w:val="normal0"/>
        <w:pBdr>
          <w:top w:val="nil"/>
          <w:left w:val="nil"/>
          <w:bottom w:val="nil"/>
          <w:right w:val="nil"/>
          <w:between w:val="nil"/>
        </w:pBdr>
        <w:jc w:val="both"/>
        <w:rPr>
          <w:color w:val="000000"/>
        </w:rPr>
      </w:pPr>
      <w:r>
        <w:rPr>
          <w:color w:val="000000"/>
        </w:rPr>
        <w:t xml:space="preserve">Power Demand </w:t>
      </w:r>
    </w:p>
    <w:p w:rsidR="0073336D" w:rsidRDefault="0073336D" w:rsidP="0073336D">
      <w:pPr>
        <w:pStyle w:val="normal0"/>
        <w:numPr>
          <w:ilvl w:val="0"/>
          <w:numId w:val="2"/>
        </w:numPr>
        <w:pBdr>
          <w:top w:val="nil"/>
          <w:left w:val="nil"/>
          <w:bottom w:val="nil"/>
          <w:right w:val="nil"/>
          <w:between w:val="nil"/>
        </w:pBdr>
        <w:spacing w:after="0"/>
        <w:ind w:left="360"/>
        <w:jc w:val="both"/>
        <w:rPr>
          <w:color w:val="000000"/>
        </w:rPr>
      </w:pPr>
      <w:r>
        <w:rPr>
          <w:color w:val="000000"/>
        </w:rPr>
        <w:t xml:space="preserve">According to SLDC data, after clocking a record power demand of 7695 MW in 2022, Delhi’s peak power demand during the summers of 2024 may cross the 8000 MW for the first time- reaching </w:t>
      </w:r>
      <w:proofErr w:type="spellStart"/>
      <w:r>
        <w:rPr>
          <w:color w:val="000000"/>
        </w:rPr>
        <w:t>upto</w:t>
      </w:r>
      <w:proofErr w:type="spellEnd"/>
      <w:r>
        <w:rPr>
          <w:color w:val="000000"/>
        </w:rPr>
        <w:t xml:space="preserve"> 8200 MW. Last year, Delhi’s peak power demand had clocked 7438 MW.</w:t>
      </w:r>
    </w:p>
    <w:p w:rsidR="0073336D" w:rsidRDefault="0073336D" w:rsidP="0073336D">
      <w:pPr>
        <w:pStyle w:val="normal0"/>
        <w:pBdr>
          <w:top w:val="nil"/>
          <w:left w:val="nil"/>
          <w:bottom w:val="nil"/>
          <w:right w:val="nil"/>
          <w:between w:val="nil"/>
        </w:pBdr>
        <w:spacing w:after="0"/>
        <w:ind w:left="360"/>
        <w:jc w:val="both"/>
        <w:rPr>
          <w:color w:val="000000"/>
        </w:rPr>
      </w:pPr>
    </w:p>
    <w:p w:rsidR="0073336D" w:rsidRDefault="0073336D" w:rsidP="0073336D">
      <w:pPr>
        <w:pStyle w:val="normal0"/>
        <w:numPr>
          <w:ilvl w:val="0"/>
          <w:numId w:val="2"/>
        </w:numPr>
        <w:pBdr>
          <w:top w:val="nil"/>
          <w:left w:val="nil"/>
          <w:bottom w:val="nil"/>
          <w:right w:val="nil"/>
          <w:between w:val="nil"/>
        </w:pBdr>
        <w:spacing w:after="0"/>
        <w:ind w:left="360"/>
        <w:jc w:val="both"/>
        <w:rPr>
          <w:color w:val="000000"/>
        </w:rPr>
      </w:pPr>
      <w:r>
        <w:rPr>
          <w:color w:val="000000"/>
        </w:rPr>
        <w:t>Peak power demand in BRPL’ area of South and West Delhi, which had clocked  3250 MW and 3389  MW during the summers of 2023 and 2022 respectively, is expected to reach around 36</w:t>
      </w:r>
      <w:r w:rsidR="006F6252">
        <w:rPr>
          <w:color w:val="000000"/>
        </w:rPr>
        <w:t>80</w:t>
      </w:r>
      <w:r>
        <w:rPr>
          <w:color w:val="000000"/>
        </w:rPr>
        <w:t xml:space="preserve"> MW during the summers of 2024. On the other hand, in BYPL’ area of East and Central Delhi, the peak power demand, which had reached 1670</w:t>
      </w:r>
      <w:r w:rsidR="006F6252">
        <w:rPr>
          <w:color w:val="000000"/>
        </w:rPr>
        <w:t xml:space="preserve"> </w:t>
      </w:r>
      <w:r>
        <w:rPr>
          <w:color w:val="000000"/>
        </w:rPr>
        <w:t>MW and 1752 MW during the summers of 2023 and 2022 respectively, is expected to touch around 18</w:t>
      </w:r>
      <w:r w:rsidR="006F6252">
        <w:rPr>
          <w:color w:val="000000"/>
        </w:rPr>
        <w:t>60</w:t>
      </w:r>
      <w:r>
        <w:rPr>
          <w:color w:val="000000"/>
        </w:rPr>
        <w:t xml:space="preserve"> MW this year.  </w:t>
      </w:r>
    </w:p>
    <w:p w:rsidR="008568FE" w:rsidRDefault="008568FE">
      <w:pPr>
        <w:pStyle w:val="normal0"/>
        <w:pBdr>
          <w:top w:val="nil"/>
          <w:left w:val="nil"/>
          <w:bottom w:val="nil"/>
          <w:right w:val="nil"/>
          <w:between w:val="nil"/>
        </w:pBdr>
        <w:spacing w:after="0"/>
        <w:ind w:left="720"/>
        <w:rPr>
          <w:color w:val="000000"/>
        </w:rPr>
      </w:pPr>
    </w:p>
    <w:p w:rsidR="008568FE" w:rsidRDefault="00D7794E">
      <w:pPr>
        <w:pStyle w:val="normal0"/>
        <w:numPr>
          <w:ilvl w:val="0"/>
          <w:numId w:val="1"/>
        </w:numPr>
        <w:pBdr>
          <w:top w:val="nil"/>
          <w:left w:val="nil"/>
          <w:bottom w:val="nil"/>
          <w:right w:val="nil"/>
          <w:between w:val="nil"/>
        </w:pBdr>
        <w:ind w:left="360"/>
        <w:jc w:val="both"/>
        <w:rPr>
          <w:color w:val="000000"/>
        </w:rPr>
      </w:pPr>
      <w:r>
        <w:rPr>
          <w:color w:val="000000"/>
        </w:rPr>
        <w:t xml:space="preserve">BSES </w:t>
      </w:r>
      <w:proofErr w:type="spellStart"/>
      <w:r>
        <w:rPr>
          <w:color w:val="000000"/>
        </w:rPr>
        <w:t>discoms</w:t>
      </w:r>
      <w:proofErr w:type="spellEnd"/>
      <w:r>
        <w:rPr>
          <w:color w:val="000000"/>
        </w:rPr>
        <w:t xml:space="preserve"> are geared-up to ensure reliable power supply to meet the power demand of ~ 50 </w:t>
      </w:r>
      <w:proofErr w:type="spellStart"/>
      <w:r>
        <w:rPr>
          <w:color w:val="000000"/>
        </w:rPr>
        <w:t>lakh</w:t>
      </w:r>
      <w:proofErr w:type="spellEnd"/>
      <w:r>
        <w:rPr>
          <w:color w:val="000000"/>
        </w:rPr>
        <w:t xml:space="preserve"> consumers and ~ 2 </w:t>
      </w:r>
      <w:proofErr w:type="spellStart"/>
      <w:r>
        <w:rPr>
          <w:color w:val="000000"/>
        </w:rPr>
        <w:t>crore</w:t>
      </w:r>
      <w:proofErr w:type="spellEnd"/>
      <w:r>
        <w:rPr>
          <w:color w:val="000000"/>
        </w:rPr>
        <w:t xml:space="preserve"> residents in South, West, East and Central Delhi. These arrangements include long term PPAs and banking arrangements with other states and deployment of latest technologies like AI and ML for predicting power demand accurately, critical for ensuring reliable power supply.</w:t>
      </w:r>
    </w:p>
    <w:p w:rsidR="008568FE" w:rsidRDefault="00D7794E">
      <w:pPr>
        <w:pStyle w:val="normal0"/>
        <w:jc w:val="both"/>
      </w:pPr>
      <w:r>
        <w:rPr>
          <w:color w:val="000000"/>
        </w:rPr>
        <w:t>Green Power to light-up Delhi</w:t>
      </w:r>
    </w:p>
    <w:p w:rsidR="008568FE" w:rsidRDefault="00D7794E">
      <w:pPr>
        <w:pStyle w:val="normal0"/>
        <w:numPr>
          <w:ilvl w:val="0"/>
          <w:numId w:val="1"/>
        </w:numPr>
        <w:pBdr>
          <w:top w:val="nil"/>
          <w:left w:val="nil"/>
          <w:bottom w:val="nil"/>
          <w:right w:val="nil"/>
          <w:between w:val="nil"/>
        </w:pBdr>
        <w:ind w:left="360"/>
        <w:jc w:val="both"/>
        <w:rPr>
          <w:color w:val="000000"/>
        </w:rPr>
      </w:pPr>
      <w:r>
        <w:rPr>
          <w:color w:val="000000"/>
        </w:rPr>
        <w:t xml:space="preserve">Around 2100 MW of Green power will play an important role in ensuring reliable power during the summer months in BSES area. This includes around 840 MW of solar power from SECI, 500 MW of wind power, 40 MW from Waste-to Energy. BSES efforts in ensuring reliable power are also being helped by  160 MW+ of roof-top solar installed on roof-tops in South, West, East and Central Delhi.   </w:t>
      </w:r>
    </w:p>
    <w:tbl>
      <w:tblPr>
        <w:tblStyle w:val="a"/>
        <w:tblW w:w="930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26"/>
        <w:gridCol w:w="1553"/>
        <w:gridCol w:w="1555"/>
        <w:gridCol w:w="1553"/>
        <w:gridCol w:w="1555"/>
        <w:gridCol w:w="1564"/>
      </w:tblGrid>
      <w:tr w:rsidR="008568FE">
        <w:trPr>
          <w:cantSplit/>
          <w:trHeight w:val="653"/>
          <w:tblHeader/>
        </w:trPr>
        <w:tc>
          <w:tcPr>
            <w:tcW w:w="1526" w:type="dxa"/>
          </w:tcPr>
          <w:p w:rsidR="008568FE" w:rsidRDefault="00D7794E">
            <w:pPr>
              <w:pStyle w:val="normal0"/>
              <w:rPr>
                <w:color w:val="000000"/>
              </w:rPr>
            </w:pPr>
            <w:r>
              <w:rPr>
                <w:color w:val="000000"/>
              </w:rPr>
              <w:t>MW</w:t>
            </w:r>
          </w:p>
        </w:tc>
        <w:tc>
          <w:tcPr>
            <w:tcW w:w="1553" w:type="dxa"/>
          </w:tcPr>
          <w:p w:rsidR="008568FE" w:rsidRDefault="00D7794E">
            <w:pPr>
              <w:pStyle w:val="normal0"/>
              <w:rPr>
                <w:color w:val="000000"/>
              </w:rPr>
            </w:pPr>
            <w:r>
              <w:rPr>
                <w:color w:val="000000"/>
              </w:rPr>
              <w:t>Solar</w:t>
            </w:r>
          </w:p>
        </w:tc>
        <w:tc>
          <w:tcPr>
            <w:tcW w:w="1555" w:type="dxa"/>
          </w:tcPr>
          <w:p w:rsidR="008568FE" w:rsidRDefault="00D7794E">
            <w:pPr>
              <w:pStyle w:val="normal0"/>
              <w:rPr>
                <w:color w:val="000000"/>
              </w:rPr>
            </w:pPr>
            <w:r>
              <w:rPr>
                <w:color w:val="000000"/>
              </w:rPr>
              <w:t>Hydro</w:t>
            </w:r>
          </w:p>
        </w:tc>
        <w:tc>
          <w:tcPr>
            <w:tcW w:w="1553" w:type="dxa"/>
          </w:tcPr>
          <w:p w:rsidR="008568FE" w:rsidRDefault="00D7794E">
            <w:pPr>
              <w:pStyle w:val="normal0"/>
              <w:rPr>
                <w:color w:val="000000"/>
              </w:rPr>
            </w:pPr>
            <w:r>
              <w:rPr>
                <w:color w:val="000000"/>
              </w:rPr>
              <w:t>Wind</w:t>
            </w:r>
          </w:p>
        </w:tc>
        <w:tc>
          <w:tcPr>
            <w:tcW w:w="1555" w:type="dxa"/>
          </w:tcPr>
          <w:p w:rsidR="008568FE" w:rsidRDefault="00D7794E">
            <w:pPr>
              <w:pStyle w:val="normal0"/>
              <w:rPr>
                <w:color w:val="000000"/>
              </w:rPr>
            </w:pPr>
            <w:r>
              <w:rPr>
                <w:color w:val="000000"/>
              </w:rPr>
              <w:t>Roof-top solar</w:t>
            </w:r>
          </w:p>
        </w:tc>
        <w:tc>
          <w:tcPr>
            <w:tcW w:w="1564" w:type="dxa"/>
          </w:tcPr>
          <w:p w:rsidR="008568FE" w:rsidRDefault="00D7794E">
            <w:pPr>
              <w:pStyle w:val="normal0"/>
              <w:rPr>
                <w:color w:val="000000"/>
              </w:rPr>
            </w:pPr>
            <w:r>
              <w:rPr>
                <w:color w:val="000000"/>
              </w:rPr>
              <w:t>Waste to Energy</w:t>
            </w:r>
          </w:p>
        </w:tc>
      </w:tr>
      <w:tr w:rsidR="008568FE">
        <w:trPr>
          <w:cantSplit/>
          <w:trHeight w:val="332"/>
          <w:tblHeader/>
        </w:trPr>
        <w:tc>
          <w:tcPr>
            <w:tcW w:w="1526" w:type="dxa"/>
          </w:tcPr>
          <w:p w:rsidR="008568FE" w:rsidRDefault="00D7794E">
            <w:pPr>
              <w:pStyle w:val="normal0"/>
              <w:rPr>
                <w:color w:val="000000"/>
              </w:rPr>
            </w:pPr>
            <w:r>
              <w:rPr>
                <w:color w:val="000000"/>
              </w:rPr>
              <w:t>BSES</w:t>
            </w:r>
          </w:p>
        </w:tc>
        <w:tc>
          <w:tcPr>
            <w:tcW w:w="1553" w:type="dxa"/>
          </w:tcPr>
          <w:p w:rsidR="008568FE" w:rsidRDefault="00D7794E">
            <w:pPr>
              <w:pStyle w:val="normal0"/>
              <w:rPr>
                <w:color w:val="000000"/>
              </w:rPr>
            </w:pPr>
            <w:r>
              <w:rPr>
                <w:color w:val="000000"/>
              </w:rPr>
              <w:t>840</w:t>
            </w:r>
          </w:p>
        </w:tc>
        <w:tc>
          <w:tcPr>
            <w:tcW w:w="1555" w:type="dxa"/>
          </w:tcPr>
          <w:p w:rsidR="008568FE" w:rsidRDefault="00D7794E">
            <w:pPr>
              <w:pStyle w:val="normal0"/>
              <w:rPr>
                <w:color w:val="000000"/>
              </w:rPr>
            </w:pPr>
            <w:r>
              <w:rPr>
                <w:color w:val="000000"/>
              </w:rPr>
              <w:t>546</w:t>
            </w:r>
          </w:p>
        </w:tc>
        <w:tc>
          <w:tcPr>
            <w:tcW w:w="1553" w:type="dxa"/>
          </w:tcPr>
          <w:p w:rsidR="008568FE" w:rsidRDefault="00D7794E">
            <w:pPr>
              <w:pStyle w:val="normal0"/>
              <w:rPr>
                <w:color w:val="000000"/>
              </w:rPr>
            </w:pPr>
            <w:r>
              <w:rPr>
                <w:color w:val="000000"/>
              </w:rPr>
              <w:t>500</w:t>
            </w:r>
          </w:p>
        </w:tc>
        <w:tc>
          <w:tcPr>
            <w:tcW w:w="1555" w:type="dxa"/>
          </w:tcPr>
          <w:p w:rsidR="008568FE" w:rsidRDefault="00D7794E">
            <w:pPr>
              <w:pStyle w:val="normal0"/>
              <w:rPr>
                <w:color w:val="000000"/>
              </w:rPr>
            </w:pPr>
            <w:r>
              <w:rPr>
                <w:color w:val="000000"/>
              </w:rPr>
              <w:t>166</w:t>
            </w:r>
          </w:p>
        </w:tc>
        <w:tc>
          <w:tcPr>
            <w:tcW w:w="1564" w:type="dxa"/>
          </w:tcPr>
          <w:p w:rsidR="008568FE" w:rsidRDefault="00D7794E">
            <w:pPr>
              <w:pStyle w:val="normal0"/>
              <w:rPr>
                <w:color w:val="000000"/>
              </w:rPr>
            </w:pPr>
            <w:r>
              <w:rPr>
                <w:color w:val="000000"/>
              </w:rPr>
              <w:t>40</w:t>
            </w:r>
          </w:p>
        </w:tc>
      </w:tr>
    </w:tbl>
    <w:p w:rsidR="008568FE" w:rsidRDefault="008568FE">
      <w:pPr>
        <w:pStyle w:val="normal0"/>
        <w:pBdr>
          <w:top w:val="nil"/>
          <w:left w:val="nil"/>
          <w:bottom w:val="nil"/>
          <w:right w:val="nil"/>
          <w:between w:val="nil"/>
        </w:pBdr>
        <w:spacing w:after="0"/>
        <w:ind w:left="1440"/>
        <w:rPr>
          <w:color w:val="000000"/>
        </w:rPr>
      </w:pPr>
    </w:p>
    <w:p w:rsidR="008568FE" w:rsidRDefault="00D7794E">
      <w:pPr>
        <w:pStyle w:val="normal0"/>
        <w:numPr>
          <w:ilvl w:val="0"/>
          <w:numId w:val="1"/>
        </w:numPr>
        <w:pBdr>
          <w:top w:val="nil"/>
          <w:left w:val="nil"/>
          <w:bottom w:val="nil"/>
          <w:right w:val="nil"/>
          <w:between w:val="nil"/>
        </w:pBdr>
        <w:ind w:left="360"/>
        <w:jc w:val="both"/>
        <w:rPr>
          <w:color w:val="000000"/>
        </w:rPr>
      </w:pPr>
      <w:r>
        <w:rPr>
          <w:color w:val="000000"/>
        </w:rPr>
        <w:t xml:space="preserve">Additionally, BRPL will also procure </w:t>
      </w:r>
      <w:proofErr w:type="spellStart"/>
      <w:r>
        <w:rPr>
          <w:color w:val="000000"/>
        </w:rPr>
        <w:t>upto</w:t>
      </w:r>
      <w:proofErr w:type="spellEnd"/>
      <w:r>
        <w:rPr>
          <w:color w:val="000000"/>
        </w:rPr>
        <w:t xml:space="preserve"> 500 MW through bilateral contract. In case of any unforeseeable contingency, BSES </w:t>
      </w:r>
      <w:proofErr w:type="spellStart"/>
      <w:r>
        <w:rPr>
          <w:color w:val="000000"/>
        </w:rPr>
        <w:t>discoms</w:t>
      </w:r>
      <w:proofErr w:type="spellEnd"/>
      <w:r>
        <w:rPr>
          <w:color w:val="000000"/>
        </w:rPr>
        <w:t xml:space="preserve"> will buy short-term power from the exchange, depending on the time-slot. Adding to these efforts are the advanced load-forecasting statistical and </w:t>
      </w:r>
      <w:proofErr w:type="spellStart"/>
      <w:r>
        <w:rPr>
          <w:color w:val="000000"/>
        </w:rPr>
        <w:t>modeling</w:t>
      </w:r>
      <w:proofErr w:type="spellEnd"/>
      <w:r>
        <w:rPr>
          <w:color w:val="000000"/>
        </w:rPr>
        <w:t xml:space="preserve"> techniques, which use Artificial Intelligence and Machine Learning to help the </w:t>
      </w:r>
      <w:proofErr w:type="spellStart"/>
      <w:r>
        <w:rPr>
          <w:color w:val="000000"/>
        </w:rPr>
        <w:t>discom</w:t>
      </w:r>
      <w:proofErr w:type="spellEnd"/>
      <w:r>
        <w:rPr>
          <w:color w:val="000000"/>
        </w:rPr>
        <w:t xml:space="preserve"> accurately forecast the power demand.</w:t>
      </w:r>
    </w:p>
    <w:p w:rsidR="008568FE" w:rsidRDefault="00D7794E">
      <w:pPr>
        <w:pStyle w:val="normal0"/>
        <w:rPr>
          <w:color w:val="000000"/>
        </w:rPr>
      </w:pPr>
      <w:r>
        <w:rPr>
          <w:color w:val="000000"/>
        </w:rPr>
        <w:t xml:space="preserve">Strengthening of the Distribution Network </w:t>
      </w:r>
    </w:p>
    <w:p w:rsidR="008568FE" w:rsidRDefault="00D7794E">
      <w:pPr>
        <w:pStyle w:val="normal0"/>
        <w:numPr>
          <w:ilvl w:val="0"/>
          <w:numId w:val="1"/>
        </w:numPr>
        <w:pBdr>
          <w:top w:val="nil"/>
          <w:left w:val="nil"/>
          <w:bottom w:val="nil"/>
          <w:right w:val="nil"/>
          <w:between w:val="nil"/>
        </w:pBdr>
        <w:spacing w:after="0"/>
        <w:ind w:left="360"/>
        <w:jc w:val="both"/>
        <w:rPr>
          <w:color w:val="000000"/>
        </w:rPr>
      </w:pPr>
      <w:r>
        <w:rPr>
          <w:color w:val="000000"/>
        </w:rPr>
        <w:t xml:space="preserve">During the year, BSES </w:t>
      </w:r>
      <w:proofErr w:type="spellStart"/>
      <w:r>
        <w:rPr>
          <w:color w:val="000000"/>
        </w:rPr>
        <w:t>discoms</w:t>
      </w:r>
      <w:proofErr w:type="spellEnd"/>
      <w:r>
        <w:rPr>
          <w:color w:val="000000"/>
        </w:rPr>
        <w:t xml:space="preserve"> invested substantial resources to strengthen the network and undertook several unique measures to ensure reliable power supply during the summer months. </w:t>
      </w:r>
      <w:r>
        <w:rPr>
          <w:color w:val="000000"/>
        </w:rPr>
        <w:lastRenderedPageBreak/>
        <w:t xml:space="preserve">Apart from preventive maintenance, BSES has also done extensive predictive checks to identify hot-spots or to pre-determine potential faults and to take remedial measures. This is done through thermal scanning, partial discharge measurement, and health assessment of power and distribution transformers. Online load monitoring system is also in place for tracking the power transformers &amp; 11kV feeder load especially during the summers. </w:t>
      </w:r>
    </w:p>
    <w:p w:rsidR="003D6A7B" w:rsidRDefault="003D6A7B" w:rsidP="003D6A7B">
      <w:pPr>
        <w:spacing w:after="0" w:line="240" w:lineRule="auto"/>
        <w:jc w:val="both"/>
        <w:rPr>
          <w:rFonts w:cstheme="minorHAnsi"/>
          <w:b/>
        </w:rPr>
      </w:pPr>
    </w:p>
    <w:p w:rsidR="003D6A7B" w:rsidRPr="003D6A7B" w:rsidRDefault="003D6A7B" w:rsidP="003D6A7B">
      <w:pPr>
        <w:spacing w:after="0" w:line="240" w:lineRule="auto"/>
        <w:jc w:val="both"/>
        <w:rPr>
          <w:rFonts w:cstheme="minorHAnsi"/>
          <w:b/>
        </w:rPr>
      </w:pPr>
      <w:r w:rsidRPr="003D6A7B">
        <w:rPr>
          <w:rFonts w:cstheme="minorHAnsi"/>
          <w:b/>
        </w:rPr>
        <w:t>Delhi’s peak power demand over the years</w:t>
      </w:r>
    </w:p>
    <w:p w:rsidR="003D6A7B" w:rsidRDefault="003D6A7B" w:rsidP="003D6A7B">
      <w:pPr>
        <w:pStyle w:val="ListParagraph"/>
        <w:spacing w:after="0" w:line="240" w:lineRule="auto"/>
        <w:ind w:left="1440"/>
        <w:jc w:val="both"/>
        <w:rPr>
          <w:rFonts w:cstheme="minorHAnsi"/>
        </w:rPr>
      </w:pPr>
    </w:p>
    <w:p w:rsidR="003D6A7B" w:rsidRPr="003D6A7B" w:rsidRDefault="003D6A7B" w:rsidP="003D6A7B">
      <w:pPr>
        <w:pStyle w:val="ListParagraph"/>
        <w:spacing w:after="0" w:line="240" w:lineRule="auto"/>
        <w:ind w:left="1440"/>
        <w:jc w:val="both"/>
        <w:rPr>
          <w:rFonts w:cstheme="minorHAnsi"/>
        </w:rPr>
      </w:pPr>
    </w:p>
    <w:tbl>
      <w:tblPr>
        <w:tblW w:w="6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9"/>
        <w:gridCol w:w="3182"/>
      </w:tblGrid>
      <w:tr w:rsidR="003D6A7B" w:rsidRPr="00116AD8" w:rsidTr="003D6A7B">
        <w:trPr>
          <w:trHeight w:val="149"/>
        </w:trPr>
        <w:tc>
          <w:tcPr>
            <w:tcW w:w="3169" w:type="dxa"/>
          </w:tcPr>
          <w:p w:rsidR="003D6A7B" w:rsidRPr="00116AD8" w:rsidRDefault="003D6A7B" w:rsidP="00BA2105">
            <w:pPr>
              <w:rPr>
                <w:rFonts w:cstheme="minorHAnsi"/>
                <w:color w:val="000000"/>
              </w:rPr>
            </w:pPr>
            <w:r w:rsidRPr="00116AD8">
              <w:rPr>
                <w:rFonts w:cstheme="minorHAnsi"/>
                <w:color w:val="000000"/>
              </w:rPr>
              <w:tab/>
              <w:t>Year</w:t>
            </w:r>
          </w:p>
        </w:tc>
        <w:tc>
          <w:tcPr>
            <w:tcW w:w="3182" w:type="dxa"/>
          </w:tcPr>
          <w:p w:rsidR="003D6A7B" w:rsidRPr="00116AD8" w:rsidRDefault="003D6A7B" w:rsidP="00BA2105">
            <w:pPr>
              <w:rPr>
                <w:rFonts w:cstheme="minorHAnsi"/>
                <w:color w:val="000000"/>
              </w:rPr>
            </w:pPr>
            <w:r w:rsidRPr="00116AD8">
              <w:rPr>
                <w:rFonts w:cstheme="minorHAnsi"/>
                <w:color w:val="000000"/>
              </w:rPr>
              <w:t>Peak Demand Met (MW)</w:t>
            </w:r>
          </w:p>
        </w:tc>
      </w:tr>
      <w:tr w:rsidR="003D6A7B" w:rsidRPr="00116AD8" w:rsidTr="003D6A7B">
        <w:trPr>
          <w:trHeight w:val="149"/>
        </w:trPr>
        <w:tc>
          <w:tcPr>
            <w:tcW w:w="3169" w:type="dxa"/>
          </w:tcPr>
          <w:p w:rsidR="003D6A7B" w:rsidRPr="00116AD8" w:rsidRDefault="003D6A7B" w:rsidP="00BA2105">
            <w:pPr>
              <w:rPr>
                <w:rFonts w:cstheme="minorHAnsi"/>
                <w:color w:val="000000"/>
              </w:rPr>
            </w:pPr>
            <w:r>
              <w:rPr>
                <w:rFonts w:cstheme="minorHAnsi"/>
                <w:color w:val="000000"/>
              </w:rPr>
              <w:t>2024 (May 21)</w:t>
            </w:r>
          </w:p>
        </w:tc>
        <w:tc>
          <w:tcPr>
            <w:tcW w:w="3182" w:type="dxa"/>
          </w:tcPr>
          <w:p w:rsidR="003D6A7B" w:rsidRPr="00116AD8" w:rsidRDefault="00031E32" w:rsidP="00031E32">
            <w:pPr>
              <w:rPr>
                <w:rFonts w:cstheme="minorHAnsi"/>
                <w:color w:val="000000"/>
              </w:rPr>
            </w:pPr>
            <w:r>
              <w:rPr>
                <w:rFonts w:cstheme="minorHAnsi"/>
                <w:color w:val="000000"/>
              </w:rPr>
              <w:t>7717</w:t>
            </w:r>
          </w:p>
        </w:tc>
      </w:tr>
      <w:tr w:rsidR="003D6A7B" w:rsidRPr="00116AD8" w:rsidTr="003D6A7B">
        <w:trPr>
          <w:trHeight w:val="149"/>
        </w:trPr>
        <w:tc>
          <w:tcPr>
            <w:tcW w:w="3169" w:type="dxa"/>
          </w:tcPr>
          <w:p w:rsidR="003D6A7B" w:rsidRPr="00116AD8" w:rsidRDefault="003D6A7B" w:rsidP="00BA2105">
            <w:pPr>
              <w:rPr>
                <w:rFonts w:cstheme="minorHAnsi"/>
                <w:color w:val="000000"/>
              </w:rPr>
            </w:pPr>
            <w:r>
              <w:rPr>
                <w:rFonts w:cstheme="minorHAnsi"/>
                <w:color w:val="000000"/>
              </w:rPr>
              <w:t>2023 (August 22)</w:t>
            </w:r>
          </w:p>
        </w:tc>
        <w:tc>
          <w:tcPr>
            <w:tcW w:w="3182" w:type="dxa"/>
          </w:tcPr>
          <w:p w:rsidR="003D6A7B" w:rsidRPr="00116AD8" w:rsidRDefault="003D6A7B" w:rsidP="00BA2105">
            <w:pPr>
              <w:rPr>
                <w:rFonts w:cstheme="minorHAnsi"/>
                <w:color w:val="000000"/>
              </w:rPr>
            </w:pPr>
            <w:r>
              <w:rPr>
                <w:rFonts w:cstheme="minorHAnsi"/>
                <w:color w:val="000000"/>
              </w:rPr>
              <w:t>7438</w:t>
            </w:r>
          </w:p>
        </w:tc>
      </w:tr>
      <w:tr w:rsidR="003D6A7B" w:rsidRPr="00116AD8" w:rsidTr="003D6A7B">
        <w:trPr>
          <w:trHeight w:val="149"/>
        </w:trPr>
        <w:tc>
          <w:tcPr>
            <w:tcW w:w="3169" w:type="dxa"/>
          </w:tcPr>
          <w:p w:rsidR="003D6A7B" w:rsidRPr="00116AD8" w:rsidRDefault="003D6A7B" w:rsidP="00BA2105">
            <w:pPr>
              <w:rPr>
                <w:rFonts w:cstheme="minorHAnsi"/>
                <w:color w:val="000000"/>
              </w:rPr>
            </w:pPr>
            <w:r>
              <w:rPr>
                <w:rFonts w:cstheme="minorHAnsi"/>
                <w:color w:val="000000"/>
              </w:rPr>
              <w:t>2022 (June 29)</w:t>
            </w:r>
          </w:p>
        </w:tc>
        <w:tc>
          <w:tcPr>
            <w:tcW w:w="3182" w:type="dxa"/>
          </w:tcPr>
          <w:p w:rsidR="003D6A7B" w:rsidRPr="00116AD8" w:rsidRDefault="003D6A7B" w:rsidP="00BA2105">
            <w:pPr>
              <w:rPr>
                <w:rFonts w:cstheme="minorHAnsi"/>
                <w:color w:val="000000"/>
              </w:rPr>
            </w:pPr>
            <w:r>
              <w:rPr>
                <w:rFonts w:cstheme="minorHAnsi"/>
                <w:color w:val="000000"/>
              </w:rPr>
              <w:t>7695</w:t>
            </w:r>
          </w:p>
        </w:tc>
      </w:tr>
      <w:tr w:rsidR="003D6A7B" w:rsidRPr="00116AD8" w:rsidTr="003D6A7B">
        <w:trPr>
          <w:trHeight w:val="149"/>
        </w:trPr>
        <w:tc>
          <w:tcPr>
            <w:tcW w:w="3169" w:type="dxa"/>
          </w:tcPr>
          <w:p w:rsidR="003D6A7B" w:rsidRPr="00116AD8" w:rsidRDefault="003D6A7B" w:rsidP="00BA2105">
            <w:pPr>
              <w:rPr>
                <w:rFonts w:cstheme="minorHAnsi"/>
                <w:color w:val="000000"/>
              </w:rPr>
            </w:pPr>
            <w:r w:rsidRPr="00116AD8">
              <w:rPr>
                <w:rFonts w:cstheme="minorHAnsi"/>
                <w:color w:val="000000"/>
              </w:rPr>
              <w:t>2021 (June 29)</w:t>
            </w:r>
          </w:p>
        </w:tc>
        <w:tc>
          <w:tcPr>
            <w:tcW w:w="3182" w:type="dxa"/>
          </w:tcPr>
          <w:p w:rsidR="003D6A7B" w:rsidRPr="00116AD8" w:rsidRDefault="003D6A7B" w:rsidP="00BA2105">
            <w:pPr>
              <w:rPr>
                <w:rFonts w:cstheme="minorHAnsi"/>
                <w:color w:val="000000"/>
              </w:rPr>
            </w:pPr>
            <w:r w:rsidRPr="00116AD8">
              <w:rPr>
                <w:rFonts w:cstheme="minorHAnsi"/>
                <w:color w:val="000000"/>
              </w:rPr>
              <w:t>6753</w:t>
            </w:r>
          </w:p>
        </w:tc>
      </w:tr>
      <w:tr w:rsidR="003D6A7B" w:rsidRPr="00116AD8" w:rsidTr="003D6A7B">
        <w:trPr>
          <w:trHeight w:val="149"/>
        </w:trPr>
        <w:tc>
          <w:tcPr>
            <w:tcW w:w="3169" w:type="dxa"/>
          </w:tcPr>
          <w:p w:rsidR="003D6A7B" w:rsidRPr="00116AD8" w:rsidRDefault="003D6A7B" w:rsidP="00BA2105">
            <w:pPr>
              <w:rPr>
                <w:rFonts w:cstheme="minorHAnsi"/>
                <w:color w:val="000000"/>
              </w:rPr>
            </w:pPr>
            <w:r w:rsidRPr="00116AD8">
              <w:rPr>
                <w:rFonts w:cstheme="minorHAnsi"/>
                <w:color w:val="000000"/>
              </w:rPr>
              <w:t>2020 (June 29)</w:t>
            </w:r>
          </w:p>
        </w:tc>
        <w:tc>
          <w:tcPr>
            <w:tcW w:w="3182" w:type="dxa"/>
          </w:tcPr>
          <w:p w:rsidR="003D6A7B" w:rsidRPr="00116AD8" w:rsidRDefault="003D6A7B" w:rsidP="00BA2105">
            <w:pPr>
              <w:rPr>
                <w:rFonts w:cstheme="minorHAnsi"/>
                <w:color w:val="000000"/>
              </w:rPr>
            </w:pPr>
            <w:r w:rsidRPr="00116AD8">
              <w:rPr>
                <w:rFonts w:cstheme="minorHAnsi"/>
                <w:color w:val="000000"/>
              </w:rPr>
              <w:t>6314</w:t>
            </w:r>
          </w:p>
        </w:tc>
      </w:tr>
      <w:tr w:rsidR="003D6A7B" w:rsidRPr="00116AD8" w:rsidTr="003D6A7B">
        <w:trPr>
          <w:trHeight w:val="149"/>
        </w:trPr>
        <w:tc>
          <w:tcPr>
            <w:tcW w:w="3169" w:type="dxa"/>
          </w:tcPr>
          <w:p w:rsidR="003D6A7B" w:rsidRPr="00116AD8" w:rsidRDefault="003D6A7B" w:rsidP="00BA2105">
            <w:pPr>
              <w:rPr>
                <w:rFonts w:cstheme="minorHAnsi"/>
                <w:color w:val="000000"/>
              </w:rPr>
            </w:pPr>
            <w:r w:rsidRPr="00116AD8">
              <w:rPr>
                <w:rFonts w:cstheme="minorHAnsi"/>
                <w:color w:val="000000"/>
              </w:rPr>
              <w:t>2019 (July 2)</w:t>
            </w:r>
          </w:p>
        </w:tc>
        <w:tc>
          <w:tcPr>
            <w:tcW w:w="3182" w:type="dxa"/>
          </w:tcPr>
          <w:p w:rsidR="003D6A7B" w:rsidRPr="00116AD8" w:rsidRDefault="003D6A7B" w:rsidP="00BA2105">
            <w:pPr>
              <w:rPr>
                <w:rFonts w:cstheme="minorHAnsi"/>
                <w:color w:val="000000"/>
              </w:rPr>
            </w:pPr>
            <w:r w:rsidRPr="00116AD8">
              <w:rPr>
                <w:rFonts w:cstheme="minorHAnsi"/>
                <w:color w:val="000000"/>
              </w:rPr>
              <w:t>7409</w:t>
            </w:r>
          </w:p>
        </w:tc>
      </w:tr>
      <w:tr w:rsidR="003D6A7B" w:rsidRPr="00116AD8" w:rsidTr="003D6A7B">
        <w:trPr>
          <w:trHeight w:val="149"/>
        </w:trPr>
        <w:tc>
          <w:tcPr>
            <w:tcW w:w="3169" w:type="dxa"/>
          </w:tcPr>
          <w:p w:rsidR="003D6A7B" w:rsidRPr="00116AD8" w:rsidRDefault="003D6A7B" w:rsidP="00BA2105">
            <w:pPr>
              <w:rPr>
                <w:rFonts w:cstheme="minorHAnsi"/>
                <w:color w:val="000000"/>
              </w:rPr>
            </w:pPr>
            <w:r w:rsidRPr="00116AD8">
              <w:rPr>
                <w:rFonts w:cstheme="minorHAnsi"/>
                <w:color w:val="000000"/>
              </w:rPr>
              <w:t>2018 (July 10)</w:t>
            </w:r>
          </w:p>
        </w:tc>
        <w:tc>
          <w:tcPr>
            <w:tcW w:w="3182" w:type="dxa"/>
          </w:tcPr>
          <w:p w:rsidR="003D6A7B" w:rsidRPr="00116AD8" w:rsidRDefault="003D6A7B" w:rsidP="00BA2105">
            <w:pPr>
              <w:rPr>
                <w:rFonts w:cstheme="minorHAnsi"/>
                <w:color w:val="000000"/>
              </w:rPr>
            </w:pPr>
            <w:r w:rsidRPr="00116AD8">
              <w:rPr>
                <w:rFonts w:cstheme="minorHAnsi"/>
                <w:color w:val="000000"/>
              </w:rPr>
              <w:t>7016 MW</w:t>
            </w:r>
          </w:p>
        </w:tc>
      </w:tr>
      <w:tr w:rsidR="003D6A7B" w:rsidRPr="00116AD8" w:rsidTr="003D6A7B">
        <w:trPr>
          <w:trHeight w:val="149"/>
        </w:trPr>
        <w:tc>
          <w:tcPr>
            <w:tcW w:w="3169" w:type="dxa"/>
          </w:tcPr>
          <w:p w:rsidR="003D6A7B" w:rsidRPr="00116AD8" w:rsidRDefault="003D6A7B" w:rsidP="00BA2105">
            <w:pPr>
              <w:rPr>
                <w:rFonts w:cstheme="minorHAnsi"/>
                <w:color w:val="000000"/>
              </w:rPr>
            </w:pPr>
            <w:r w:rsidRPr="00116AD8">
              <w:rPr>
                <w:rFonts w:cstheme="minorHAnsi"/>
                <w:color w:val="000000"/>
              </w:rPr>
              <w:t>2017 (June 6)</w:t>
            </w:r>
          </w:p>
        </w:tc>
        <w:tc>
          <w:tcPr>
            <w:tcW w:w="3182" w:type="dxa"/>
          </w:tcPr>
          <w:p w:rsidR="003D6A7B" w:rsidRPr="00116AD8" w:rsidRDefault="003D6A7B" w:rsidP="00BA2105">
            <w:pPr>
              <w:rPr>
                <w:rFonts w:cstheme="minorHAnsi"/>
                <w:color w:val="000000"/>
              </w:rPr>
            </w:pPr>
            <w:r w:rsidRPr="00116AD8">
              <w:rPr>
                <w:rFonts w:cstheme="minorHAnsi"/>
                <w:color w:val="000000"/>
              </w:rPr>
              <w:t>6526 MW</w:t>
            </w:r>
          </w:p>
        </w:tc>
      </w:tr>
      <w:tr w:rsidR="003D6A7B" w:rsidRPr="00116AD8" w:rsidTr="003D6A7B">
        <w:trPr>
          <w:trHeight w:val="149"/>
        </w:trPr>
        <w:tc>
          <w:tcPr>
            <w:tcW w:w="3169" w:type="dxa"/>
          </w:tcPr>
          <w:p w:rsidR="003D6A7B" w:rsidRPr="00116AD8" w:rsidRDefault="003D6A7B" w:rsidP="00BA2105">
            <w:pPr>
              <w:rPr>
                <w:rFonts w:cstheme="minorHAnsi"/>
                <w:color w:val="000000"/>
              </w:rPr>
            </w:pPr>
            <w:r w:rsidRPr="00116AD8">
              <w:rPr>
                <w:rFonts w:cstheme="minorHAnsi"/>
                <w:color w:val="000000"/>
              </w:rPr>
              <w:t>2016 (July 1)</w:t>
            </w:r>
          </w:p>
        </w:tc>
        <w:tc>
          <w:tcPr>
            <w:tcW w:w="3182" w:type="dxa"/>
          </w:tcPr>
          <w:p w:rsidR="003D6A7B" w:rsidRPr="00116AD8" w:rsidRDefault="003D6A7B" w:rsidP="00BA2105">
            <w:pPr>
              <w:rPr>
                <w:rFonts w:cstheme="minorHAnsi"/>
                <w:color w:val="000000"/>
              </w:rPr>
            </w:pPr>
            <w:r w:rsidRPr="00116AD8">
              <w:rPr>
                <w:rFonts w:cstheme="minorHAnsi"/>
                <w:color w:val="000000"/>
              </w:rPr>
              <w:t>6261MW</w:t>
            </w:r>
          </w:p>
        </w:tc>
      </w:tr>
      <w:tr w:rsidR="003D6A7B" w:rsidRPr="00116AD8" w:rsidTr="003D6A7B">
        <w:trPr>
          <w:trHeight w:val="149"/>
        </w:trPr>
        <w:tc>
          <w:tcPr>
            <w:tcW w:w="3169" w:type="dxa"/>
          </w:tcPr>
          <w:p w:rsidR="003D6A7B" w:rsidRPr="00116AD8" w:rsidRDefault="003D6A7B" w:rsidP="00BA2105">
            <w:pPr>
              <w:rPr>
                <w:rFonts w:cstheme="minorHAnsi"/>
                <w:color w:val="000000"/>
              </w:rPr>
            </w:pPr>
            <w:r w:rsidRPr="00116AD8">
              <w:rPr>
                <w:rFonts w:cstheme="minorHAnsi"/>
                <w:color w:val="000000"/>
              </w:rPr>
              <w:t>2015(June 19)</w:t>
            </w:r>
          </w:p>
        </w:tc>
        <w:tc>
          <w:tcPr>
            <w:tcW w:w="3182" w:type="dxa"/>
          </w:tcPr>
          <w:p w:rsidR="003D6A7B" w:rsidRPr="00116AD8" w:rsidRDefault="003D6A7B" w:rsidP="00BA2105">
            <w:pPr>
              <w:rPr>
                <w:rFonts w:cstheme="minorHAnsi"/>
                <w:color w:val="000000"/>
              </w:rPr>
            </w:pPr>
            <w:r w:rsidRPr="00116AD8">
              <w:rPr>
                <w:rFonts w:cstheme="minorHAnsi"/>
                <w:color w:val="000000"/>
              </w:rPr>
              <w:t>5846 MW</w:t>
            </w:r>
          </w:p>
        </w:tc>
      </w:tr>
      <w:tr w:rsidR="003D6A7B" w:rsidRPr="00116AD8" w:rsidTr="003D6A7B">
        <w:trPr>
          <w:trHeight w:val="149"/>
        </w:trPr>
        <w:tc>
          <w:tcPr>
            <w:tcW w:w="3169" w:type="dxa"/>
          </w:tcPr>
          <w:p w:rsidR="003D6A7B" w:rsidRPr="00116AD8" w:rsidRDefault="003D6A7B" w:rsidP="00BA2105">
            <w:pPr>
              <w:rPr>
                <w:rFonts w:cstheme="minorHAnsi"/>
                <w:color w:val="000000"/>
              </w:rPr>
            </w:pPr>
            <w:r w:rsidRPr="00116AD8">
              <w:rPr>
                <w:rFonts w:cstheme="minorHAnsi"/>
                <w:color w:val="000000"/>
              </w:rPr>
              <w:t>2014 (July 15)</w:t>
            </w:r>
          </w:p>
        </w:tc>
        <w:tc>
          <w:tcPr>
            <w:tcW w:w="3182" w:type="dxa"/>
          </w:tcPr>
          <w:p w:rsidR="003D6A7B" w:rsidRPr="00116AD8" w:rsidRDefault="003D6A7B" w:rsidP="00BA2105">
            <w:pPr>
              <w:rPr>
                <w:rFonts w:cstheme="minorHAnsi"/>
                <w:color w:val="000000"/>
              </w:rPr>
            </w:pPr>
            <w:r w:rsidRPr="00116AD8">
              <w:rPr>
                <w:rFonts w:cstheme="minorHAnsi"/>
                <w:color w:val="000000"/>
              </w:rPr>
              <w:t>5925 MW</w:t>
            </w:r>
          </w:p>
        </w:tc>
      </w:tr>
      <w:tr w:rsidR="003D6A7B" w:rsidRPr="00116AD8" w:rsidTr="003D6A7B">
        <w:trPr>
          <w:trHeight w:val="149"/>
        </w:trPr>
        <w:tc>
          <w:tcPr>
            <w:tcW w:w="3169" w:type="dxa"/>
          </w:tcPr>
          <w:p w:rsidR="003D6A7B" w:rsidRPr="00116AD8" w:rsidRDefault="003D6A7B" w:rsidP="00BA2105">
            <w:pPr>
              <w:rPr>
                <w:rFonts w:cstheme="minorHAnsi"/>
                <w:color w:val="000000"/>
              </w:rPr>
            </w:pPr>
            <w:r w:rsidRPr="00116AD8">
              <w:rPr>
                <w:rFonts w:cstheme="minorHAnsi"/>
                <w:color w:val="000000"/>
              </w:rPr>
              <w:t>2013 (June 6)</w:t>
            </w:r>
          </w:p>
        </w:tc>
        <w:tc>
          <w:tcPr>
            <w:tcW w:w="3182" w:type="dxa"/>
          </w:tcPr>
          <w:p w:rsidR="003D6A7B" w:rsidRPr="00116AD8" w:rsidRDefault="003D6A7B" w:rsidP="00BA2105">
            <w:pPr>
              <w:rPr>
                <w:rFonts w:cstheme="minorHAnsi"/>
                <w:color w:val="000000"/>
              </w:rPr>
            </w:pPr>
            <w:r w:rsidRPr="00116AD8">
              <w:rPr>
                <w:rFonts w:cstheme="minorHAnsi"/>
                <w:color w:val="000000"/>
              </w:rPr>
              <w:t>5653</w:t>
            </w:r>
          </w:p>
        </w:tc>
      </w:tr>
      <w:tr w:rsidR="003D6A7B" w:rsidRPr="00116AD8" w:rsidTr="003D6A7B">
        <w:trPr>
          <w:trHeight w:val="149"/>
        </w:trPr>
        <w:tc>
          <w:tcPr>
            <w:tcW w:w="3169" w:type="dxa"/>
          </w:tcPr>
          <w:p w:rsidR="003D6A7B" w:rsidRPr="00116AD8" w:rsidRDefault="003D6A7B" w:rsidP="00BA2105">
            <w:pPr>
              <w:rPr>
                <w:rFonts w:cstheme="minorHAnsi"/>
                <w:color w:val="000000"/>
              </w:rPr>
            </w:pPr>
            <w:r w:rsidRPr="00116AD8">
              <w:rPr>
                <w:rFonts w:cstheme="minorHAnsi"/>
                <w:color w:val="000000"/>
              </w:rPr>
              <w:t>2012 (July 5)</w:t>
            </w:r>
          </w:p>
        </w:tc>
        <w:tc>
          <w:tcPr>
            <w:tcW w:w="3182" w:type="dxa"/>
          </w:tcPr>
          <w:p w:rsidR="003D6A7B" w:rsidRPr="00116AD8" w:rsidRDefault="003D6A7B" w:rsidP="00BA2105">
            <w:pPr>
              <w:rPr>
                <w:rFonts w:cstheme="minorHAnsi"/>
                <w:color w:val="000000"/>
              </w:rPr>
            </w:pPr>
            <w:r w:rsidRPr="00116AD8">
              <w:rPr>
                <w:rFonts w:cstheme="minorHAnsi"/>
                <w:color w:val="000000"/>
              </w:rPr>
              <w:t>5642</w:t>
            </w:r>
          </w:p>
        </w:tc>
      </w:tr>
      <w:tr w:rsidR="003D6A7B" w:rsidRPr="00116AD8" w:rsidTr="003D6A7B">
        <w:trPr>
          <w:trHeight w:val="149"/>
        </w:trPr>
        <w:tc>
          <w:tcPr>
            <w:tcW w:w="3169" w:type="dxa"/>
          </w:tcPr>
          <w:p w:rsidR="003D6A7B" w:rsidRPr="00116AD8" w:rsidRDefault="003D6A7B" w:rsidP="00BA2105">
            <w:pPr>
              <w:rPr>
                <w:rFonts w:cstheme="minorHAnsi"/>
                <w:color w:val="000000"/>
              </w:rPr>
            </w:pPr>
            <w:r w:rsidRPr="00116AD8">
              <w:rPr>
                <w:rFonts w:cstheme="minorHAnsi"/>
                <w:color w:val="000000"/>
              </w:rPr>
              <w:t>2011 (August 2)</w:t>
            </w:r>
          </w:p>
        </w:tc>
        <w:tc>
          <w:tcPr>
            <w:tcW w:w="3182" w:type="dxa"/>
          </w:tcPr>
          <w:p w:rsidR="003D6A7B" w:rsidRPr="00116AD8" w:rsidRDefault="003D6A7B" w:rsidP="00BA2105">
            <w:pPr>
              <w:rPr>
                <w:rFonts w:cstheme="minorHAnsi"/>
                <w:color w:val="000000"/>
              </w:rPr>
            </w:pPr>
            <w:r w:rsidRPr="00116AD8">
              <w:rPr>
                <w:rFonts w:cstheme="minorHAnsi"/>
                <w:color w:val="000000"/>
              </w:rPr>
              <w:t>5028</w:t>
            </w:r>
          </w:p>
        </w:tc>
      </w:tr>
      <w:tr w:rsidR="003D6A7B" w:rsidRPr="00116AD8" w:rsidTr="003D6A7B">
        <w:trPr>
          <w:trHeight w:val="323"/>
        </w:trPr>
        <w:tc>
          <w:tcPr>
            <w:tcW w:w="3169" w:type="dxa"/>
          </w:tcPr>
          <w:p w:rsidR="003D6A7B" w:rsidRPr="00116AD8" w:rsidRDefault="003D6A7B" w:rsidP="00BA2105">
            <w:pPr>
              <w:rPr>
                <w:rFonts w:cstheme="minorHAnsi"/>
                <w:color w:val="000000"/>
              </w:rPr>
            </w:pPr>
            <w:r w:rsidRPr="00116AD8">
              <w:rPr>
                <w:rFonts w:cstheme="minorHAnsi"/>
                <w:color w:val="000000"/>
              </w:rPr>
              <w:t>2010 (July  1)</w:t>
            </w:r>
          </w:p>
        </w:tc>
        <w:tc>
          <w:tcPr>
            <w:tcW w:w="3182" w:type="dxa"/>
          </w:tcPr>
          <w:p w:rsidR="003D6A7B" w:rsidRPr="00116AD8" w:rsidRDefault="003D6A7B" w:rsidP="00BA2105">
            <w:pPr>
              <w:rPr>
                <w:rFonts w:cstheme="minorHAnsi"/>
                <w:color w:val="000000"/>
              </w:rPr>
            </w:pPr>
            <w:r w:rsidRPr="00116AD8">
              <w:rPr>
                <w:rFonts w:cstheme="minorHAnsi"/>
                <w:color w:val="000000"/>
              </w:rPr>
              <w:t>4720</w:t>
            </w:r>
          </w:p>
        </w:tc>
      </w:tr>
      <w:tr w:rsidR="003D6A7B" w:rsidRPr="00116AD8" w:rsidTr="003D6A7B">
        <w:trPr>
          <w:trHeight w:val="285"/>
        </w:trPr>
        <w:tc>
          <w:tcPr>
            <w:tcW w:w="3169" w:type="dxa"/>
          </w:tcPr>
          <w:p w:rsidR="003D6A7B" w:rsidRPr="00116AD8" w:rsidRDefault="003D6A7B" w:rsidP="00BA2105">
            <w:pPr>
              <w:rPr>
                <w:rFonts w:cstheme="minorHAnsi"/>
                <w:color w:val="000000"/>
              </w:rPr>
            </w:pPr>
            <w:r w:rsidRPr="00116AD8">
              <w:rPr>
                <w:rFonts w:cstheme="minorHAnsi"/>
                <w:color w:val="000000"/>
              </w:rPr>
              <w:t>2009 (July 8)</w:t>
            </w:r>
          </w:p>
        </w:tc>
        <w:tc>
          <w:tcPr>
            <w:tcW w:w="3182" w:type="dxa"/>
          </w:tcPr>
          <w:p w:rsidR="003D6A7B" w:rsidRPr="00116AD8" w:rsidRDefault="003D6A7B" w:rsidP="00BA2105">
            <w:pPr>
              <w:rPr>
                <w:rFonts w:cstheme="minorHAnsi"/>
                <w:color w:val="000000"/>
              </w:rPr>
            </w:pPr>
            <w:r w:rsidRPr="00116AD8">
              <w:rPr>
                <w:rFonts w:cstheme="minorHAnsi"/>
                <w:color w:val="000000"/>
              </w:rPr>
              <w:t>4408</w:t>
            </w:r>
          </w:p>
        </w:tc>
      </w:tr>
      <w:tr w:rsidR="003D6A7B" w:rsidRPr="00116AD8" w:rsidTr="003D6A7B">
        <w:trPr>
          <w:trHeight w:val="225"/>
        </w:trPr>
        <w:tc>
          <w:tcPr>
            <w:tcW w:w="3169" w:type="dxa"/>
          </w:tcPr>
          <w:p w:rsidR="003D6A7B" w:rsidRPr="00116AD8" w:rsidRDefault="003D6A7B" w:rsidP="00BA2105">
            <w:pPr>
              <w:rPr>
                <w:rFonts w:cstheme="minorHAnsi"/>
                <w:color w:val="000000"/>
              </w:rPr>
            </w:pPr>
            <w:r w:rsidRPr="00116AD8">
              <w:rPr>
                <w:rFonts w:cstheme="minorHAnsi"/>
                <w:color w:val="000000"/>
              </w:rPr>
              <w:t>2008</w:t>
            </w:r>
          </w:p>
        </w:tc>
        <w:tc>
          <w:tcPr>
            <w:tcW w:w="3182" w:type="dxa"/>
          </w:tcPr>
          <w:p w:rsidR="003D6A7B" w:rsidRPr="00116AD8" w:rsidRDefault="003D6A7B" w:rsidP="00BA2105">
            <w:pPr>
              <w:rPr>
                <w:rFonts w:cstheme="minorHAnsi"/>
                <w:color w:val="000000"/>
              </w:rPr>
            </w:pPr>
            <w:r w:rsidRPr="00116AD8">
              <w:rPr>
                <w:rFonts w:cstheme="minorHAnsi"/>
                <w:color w:val="000000"/>
              </w:rPr>
              <w:t>4034</w:t>
            </w:r>
          </w:p>
        </w:tc>
      </w:tr>
      <w:tr w:rsidR="003D6A7B" w:rsidRPr="00116AD8" w:rsidTr="003D6A7B">
        <w:trPr>
          <w:trHeight w:val="225"/>
        </w:trPr>
        <w:tc>
          <w:tcPr>
            <w:tcW w:w="3169" w:type="dxa"/>
          </w:tcPr>
          <w:p w:rsidR="003D6A7B" w:rsidRPr="00116AD8" w:rsidRDefault="003D6A7B" w:rsidP="00BA2105">
            <w:pPr>
              <w:rPr>
                <w:rFonts w:cstheme="minorHAnsi"/>
                <w:color w:val="000000"/>
              </w:rPr>
            </w:pPr>
            <w:r w:rsidRPr="00116AD8">
              <w:rPr>
                <w:rFonts w:cstheme="minorHAnsi"/>
                <w:color w:val="000000"/>
              </w:rPr>
              <w:t>2006</w:t>
            </w:r>
          </w:p>
        </w:tc>
        <w:tc>
          <w:tcPr>
            <w:tcW w:w="3182" w:type="dxa"/>
          </w:tcPr>
          <w:p w:rsidR="003D6A7B" w:rsidRPr="00116AD8" w:rsidRDefault="003D6A7B" w:rsidP="00BA2105">
            <w:pPr>
              <w:rPr>
                <w:rFonts w:cstheme="minorHAnsi"/>
                <w:color w:val="000000"/>
              </w:rPr>
            </w:pPr>
            <w:r w:rsidRPr="00116AD8">
              <w:rPr>
                <w:rFonts w:cstheme="minorHAnsi"/>
                <w:color w:val="000000"/>
              </w:rPr>
              <w:t>3626</w:t>
            </w:r>
          </w:p>
        </w:tc>
      </w:tr>
      <w:tr w:rsidR="003D6A7B" w:rsidRPr="00116AD8" w:rsidTr="003D6A7B">
        <w:trPr>
          <w:trHeight w:val="225"/>
        </w:trPr>
        <w:tc>
          <w:tcPr>
            <w:tcW w:w="3169" w:type="dxa"/>
          </w:tcPr>
          <w:p w:rsidR="003D6A7B" w:rsidRPr="00116AD8" w:rsidRDefault="003D6A7B" w:rsidP="00BA2105">
            <w:pPr>
              <w:autoSpaceDE w:val="0"/>
              <w:autoSpaceDN w:val="0"/>
              <w:adjustRightInd w:val="0"/>
              <w:spacing w:line="240" w:lineRule="atLeast"/>
              <w:rPr>
                <w:rFonts w:cstheme="minorHAnsi"/>
                <w:color w:val="000000"/>
              </w:rPr>
            </w:pPr>
            <w:r w:rsidRPr="00116AD8">
              <w:rPr>
                <w:rFonts w:cstheme="minorHAnsi"/>
                <w:color w:val="000000"/>
              </w:rPr>
              <w:lastRenderedPageBreak/>
              <w:t>2005</w:t>
            </w:r>
          </w:p>
        </w:tc>
        <w:tc>
          <w:tcPr>
            <w:tcW w:w="3182" w:type="dxa"/>
          </w:tcPr>
          <w:p w:rsidR="003D6A7B" w:rsidRPr="00116AD8" w:rsidRDefault="003D6A7B" w:rsidP="00BA2105">
            <w:pPr>
              <w:autoSpaceDE w:val="0"/>
              <w:autoSpaceDN w:val="0"/>
              <w:adjustRightInd w:val="0"/>
              <w:spacing w:line="240" w:lineRule="atLeast"/>
              <w:rPr>
                <w:rFonts w:cstheme="minorHAnsi"/>
                <w:color w:val="000000"/>
              </w:rPr>
            </w:pPr>
            <w:r w:rsidRPr="00116AD8">
              <w:rPr>
                <w:rFonts w:cstheme="minorHAnsi"/>
                <w:color w:val="000000"/>
              </w:rPr>
              <w:t>3490</w:t>
            </w:r>
          </w:p>
        </w:tc>
      </w:tr>
      <w:tr w:rsidR="003D6A7B" w:rsidRPr="00116AD8" w:rsidTr="003D6A7B">
        <w:trPr>
          <w:trHeight w:val="225"/>
        </w:trPr>
        <w:tc>
          <w:tcPr>
            <w:tcW w:w="3169" w:type="dxa"/>
          </w:tcPr>
          <w:p w:rsidR="003D6A7B" w:rsidRPr="00116AD8" w:rsidRDefault="003D6A7B" w:rsidP="00BA2105">
            <w:pPr>
              <w:rPr>
                <w:rFonts w:cstheme="minorHAnsi"/>
                <w:color w:val="000000"/>
              </w:rPr>
            </w:pPr>
            <w:r w:rsidRPr="00116AD8">
              <w:rPr>
                <w:rFonts w:cstheme="minorHAnsi"/>
                <w:color w:val="000000"/>
              </w:rPr>
              <w:t>2004</w:t>
            </w:r>
          </w:p>
        </w:tc>
        <w:tc>
          <w:tcPr>
            <w:tcW w:w="3182" w:type="dxa"/>
          </w:tcPr>
          <w:p w:rsidR="003D6A7B" w:rsidRPr="00116AD8" w:rsidRDefault="003D6A7B" w:rsidP="00BA2105">
            <w:pPr>
              <w:rPr>
                <w:rFonts w:cstheme="minorHAnsi"/>
                <w:color w:val="000000"/>
              </w:rPr>
            </w:pPr>
            <w:r w:rsidRPr="00116AD8">
              <w:rPr>
                <w:rFonts w:cstheme="minorHAnsi"/>
                <w:color w:val="000000"/>
              </w:rPr>
              <w:t>3289</w:t>
            </w:r>
          </w:p>
        </w:tc>
      </w:tr>
      <w:tr w:rsidR="003D6A7B" w:rsidRPr="00116AD8" w:rsidTr="003D6A7B">
        <w:trPr>
          <w:trHeight w:val="225"/>
        </w:trPr>
        <w:tc>
          <w:tcPr>
            <w:tcW w:w="3169" w:type="dxa"/>
          </w:tcPr>
          <w:p w:rsidR="003D6A7B" w:rsidRPr="00116AD8" w:rsidRDefault="003D6A7B" w:rsidP="00BA2105">
            <w:pPr>
              <w:autoSpaceDE w:val="0"/>
              <w:autoSpaceDN w:val="0"/>
              <w:adjustRightInd w:val="0"/>
              <w:spacing w:line="240" w:lineRule="atLeast"/>
              <w:rPr>
                <w:rFonts w:cstheme="minorHAnsi"/>
                <w:color w:val="000000"/>
              </w:rPr>
            </w:pPr>
            <w:r w:rsidRPr="00116AD8">
              <w:rPr>
                <w:rFonts w:cstheme="minorHAnsi"/>
                <w:color w:val="000000"/>
              </w:rPr>
              <w:t>2003</w:t>
            </w:r>
          </w:p>
        </w:tc>
        <w:tc>
          <w:tcPr>
            <w:tcW w:w="3182" w:type="dxa"/>
          </w:tcPr>
          <w:p w:rsidR="003D6A7B" w:rsidRPr="00116AD8" w:rsidRDefault="003D6A7B" w:rsidP="00BA2105">
            <w:pPr>
              <w:autoSpaceDE w:val="0"/>
              <w:autoSpaceDN w:val="0"/>
              <w:adjustRightInd w:val="0"/>
              <w:spacing w:line="240" w:lineRule="atLeast"/>
              <w:rPr>
                <w:rFonts w:cstheme="minorHAnsi"/>
                <w:color w:val="000000"/>
              </w:rPr>
            </w:pPr>
            <w:r w:rsidRPr="00116AD8">
              <w:rPr>
                <w:rFonts w:cstheme="minorHAnsi"/>
                <w:color w:val="000000"/>
              </w:rPr>
              <w:t>3097</w:t>
            </w:r>
          </w:p>
        </w:tc>
      </w:tr>
      <w:tr w:rsidR="003D6A7B" w:rsidRPr="00116AD8" w:rsidTr="003D6A7B">
        <w:trPr>
          <w:trHeight w:val="225"/>
        </w:trPr>
        <w:tc>
          <w:tcPr>
            <w:tcW w:w="3169" w:type="dxa"/>
          </w:tcPr>
          <w:p w:rsidR="003D6A7B" w:rsidRPr="00116AD8" w:rsidRDefault="003D6A7B" w:rsidP="00BA2105">
            <w:pPr>
              <w:rPr>
                <w:rFonts w:cstheme="minorHAnsi"/>
                <w:color w:val="000000"/>
              </w:rPr>
            </w:pPr>
            <w:r w:rsidRPr="00116AD8">
              <w:rPr>
                <w:rFonts w:cstheme="minorHAnsi"/>
                <w:color w:val="000000"/>
              </w:rPr>
              <w:t>2002</w:t>
            </w:r>
          </w:p>
        </w:tc>
        <w:tc>
          <w:tcPr>
            <w:tcW w:w="3182" w:type="dxa"/>
          </w:tcPr>
          <w:p w:rsidR="003D6A7B" w:rsidRPr="00116AD8" w:rsidRDefault="003D6A7B" w:rsidP="00BA2105">
            <w:pPr>
              <w:rPr>
                <w:rFonts w:cstheme="minorHAnsi"/>
                <w:color w:val="000000"/>
              </w:rPr>
            </w:pPr>
            <w:r w:rsidRPr="00116AD8">
              <w:rPr>
                <w:rFonts w:cstheme="minorHAnsi"/>
                <w:color w:val="000000"/>
              </w:rPr>
              <w:t>2879</w:t>
            </w:r>
          </w:p>
        </w:tc>
      </w:tr>
    </w:tbl>
    <w:p w:rsidR="003D6A7B" w:rsidRDefault="003D6A7B" w:rsidP="003D6A7B">
      <w:pPr>
        <w:pStyle w:val="normal0"/>
        <w:pBdr>
          <w:top w:val="nil"/>
          <w:left w:val="nil"/>
          <w:bottom w:val="nil"/>
          <w:right w:val="nil"/>
          <w:between w:val="nil"/>
        </w:pBdr>
        <w:spacing w:after="0"/>
        <w:jc w:val="both"/>
        <w:rPr>
          <w:color w:val="000000"/>
        </w:rPr>
      </w:pPr>
    </w:p>
    <w:sectPr w:rsidR="003D6A7B" w:rsidSect="008568FE">
      <w:pgSz w:w="12240" w:h="15840"/>
      <w:pgMar w:top="1440" w:right="1440" w:bottom="1440" w:left="144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179A"/>
    <w:multiLevelType w:val="multilevel"/>
    <w:tmpl w:val="49DABAD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nsid w:val="2B4D76A5"/>
    <w:multiLevelType w:val="multilevel"/>
    <w:tmpl w:val="E8D48F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8844251"/>
    <w:multiLevelType w:val="hybridMultilevel"/>
    <w:tmpl w:val="D08AC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68FE"/>
    <w:rsid w:val="00012806"/>
    <w:rsid w:val="00012C0E"/>
    <w:rsid w:val="00031E32"/>
    <w:rsid w:val="000615EA"/>
    <w:rsid w:val="000F6DC6"/>
    <w:rsid w:val="00172390"/>
    <w:rsid w:val="00184F81"/>
    <w:rsid w:val="002051CF"/>
    <w:rsid w:val="00226E79"/>
    <w:rsid w:val="003262FB"/>
    <w:rsid w:val="003B38BB"/>
    <w:rsid w:val="003D6A7B"/>
    <w:rsid w:val="00464D3F"/>
    <w:rsid w:val="00517AE5"/>
    <w:rsid w:val="00575AA5"/>
    <w:rsid w:val="00593AF6"/>
    <w:rsid w:val="005D7255"/>
    <w:rsid w:val="006C20AA"/>
    <w:rsid w:val="006F6252"/>
    <w:rsid w:val="0073336D"/>
    <w:rsid w:val="007821DA"/>
    <w:rsid w:val="008568FE"/>
    <w:rsid w:val="008D6261"/>
    <w:rsid w:val="009660F9"/>
    <w:rsid w:val="009B3347"/>
    <w:rsid w:val="00A41622"/>
    <w:rsid w:val="00A465F2"/>
    <w:rsid w:val="00C20DC8"/>
    <w:rsid w:val="00D7794E"/>
    <w:rsid w:val="00E27A50"/>
    <w:rsid w:val="00E41F4F"/>
    <w:rsid w:val="00E466E5"/>
    <w:rsid w:val="00EF5C46"/>
    <w:rsid w:val="00F00230"/>
    <w:rsid w:val="00F74A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AE5"/>
  </w:style>
  <w:style w:type="paragraph" w:styleId="Heading1">
    <w:name w:val="heading 1"/>
    <w:basedOn w:val="normal0"/>
    <w:next w:val="normal0"/>
    <w:rsid w:val="008568FE"/>
    <w:pPr>
      <w:keepNext/>
      <w:keepLines/>
      <w:spacing w:before="480" w:after="120"/>
      <w:outlineLvl w:val="0"/>
    </w:pPr>
    <w:rPr>
      <w:b/>
      <w:sz w:val="48"/>
      <w:szCs w:val="48"/>
    </w:rPr>
  </w:style>
  <w:style w:type="paragraph" w:styleId="Heading2">
    <w:name w:val="heading 2"/>
    <w:basedOn w:val="normal0"/>
    <w:next w:val="normal0"/>
    <w:rsid w:val="008568FE"/>
    <w:pPr>
      <w:keepNext/>
      <w:keepLines/>
      <w:spacing w:before="360" w:after="80"/>
      <w:outlineLvl w:val="1"/>
    </w:pPr>
    <w:rPr>
      <w:b/>
      <w:sz w:val="36"/>
      <w:szCs w:val="36"/>
    </w:rPr>
  </w:style>
  <w:style w:type="paragraph" w:styleId="Heading3">
    <w:name w:val="heading 3"/>
    <w:basedOn w:val="normal0"/>
    <w:next w:val="normal0"/>
    <w:rsid w:val="008568FE"/>
    <w:pPr>
      <w:keepNext/>
      <w:keepLines/>
      <w:spacing w:before="280" w:after="80"/>
      <w:outlineLvl w:val="2"/>
    </w:pPr>
    <w:rPr>
      <w:b/>
      <w:sz w:val="28"/>
      <w:szCs w:val="28"/>
    </w:rPr>
  </w:style>
  <w:style w:type="paragraph" w:styleId="Heading4">
    <w:name w:val="heading 4"/>
    <w:basedOn w:val="normal0"/>
    <w:next w:val="normal0"/>
    <w:rsid w:val="008568FE"/>
    <w:pPr>
      <w:keepNext/>
      <w:keepLines/>
      <w:spacing w:before="240" w:after="40"/>
      <w:outlineLvl w:val="3"/>
    </w:pPr>
    <w:rPr>
      <w:b/>
      <w:sz w:val="24"/>
      <w:szCs w:val="24"/>
    </w:rPr>
  </w:style>
  <w:style w:type="paragraph" w:styleId="Heading5">
    <w:name w:val="heading 5"/>
    <w:basedOn w:val="normal0"/>
    <w:next w:val="normal0"/>
    <w:rsid w:val="008568FE"/>
    <w:pPr>
      <w:keepNext/>
      <w:keepLines/>
      <w:spacing w:before="220" w:after="40"/>
      <w:outlineLvl w:val="4"/>
    </w:pPr>
    <w:rPr>
      <w:b/>
    </w:rPr>
  </w:style>
  <w:style w:type="paragraph" w:styleId="Heading6">
    <w:name w:val="heading 6"/>
    <w:basedOn w:val="normal0"/>
    <w:next w:val="normal0"/>
    <w:rsid w:val="008568F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568FE"/>
  </w:style>
  <w:style w:type="paragraph" w:styleId="Title">
    <w:name w:val="Title"/>
    <w:basedOn w:val="normal0"/>
    <w:next w:val="normal0"/>
    <w:rsid w:val="008568FE"/>
    <w:pPr>
      <w:keepNext/>
      <w:keepLines/>
      <w:spacing w:before="480" w:after="120"/>
    </w:pPr>
    <w:rPr>
      <w:b/>
      <w:sz w:val="72"/>
      <w:szCs w:val="72"/>
    </w:rPr>
  </w:style>
  <w:style w:type="paragraph" w:styleId="Subtitle">
    <w:name w:val="Subtitle"/>
    <w:basedOn w:val="normal0"/>
    <w:next w:val="normal0"/>
    <w:rsid w:val="008568FE"/>
    <w:pPr>
      <w:keepNext/>
      <w:keepLines/>
      <w:spacing w:before="360" w:after="80"/>
    </w:pPr>
    <w:rPr>
      <w:rFonts w:ascii="Georgia" w:eastAsia="Georgia" w:hAnsi="Georgia" w:cs="Georgia"/>
      <w:i/>
      <w:color w:val="666666"/>
      <w:sz w:val="48"/>
      <w:szCs w:val="48"/>
    </w:rPr>
  </w:style>
  <w:style w:type="table" w:customStyle="1" w:styleId="a">
    <w:basedOn w:val="TableNormal"/>
    <w:rsid w:val="008568FE"/>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8568FE"/>
    <w:pPr>
      <w:spacing w:after="0" w:line="240" w:lineRule="auto"/>
    </w:pPr>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3B38BB"/>
    <w:pPr>
      <w:ind w:left="720"/>
      <w:contextualSpacing/>
    </w:pPr>
  </w:style>
</w:styles>
</file>

<file path=word/webSettings.xml><?xml version="1.0" encoding="utf-8"?>
<w:webSettings xmlns:r="http://schemas.openxmlformats.org/officeDocument/2006/relationships" xmlns:w="http://schemas.openxmlformats.org/wordprocessingml/2006/main">
  <w:divs>
    <w:div w:id="456070276">
      <w:bodyDiv w:val="1"/>
      <w:marLeft w:val="0"/>
      <w:marRight w:val="0"/>
      <w:marTop w:val="0"/>
      <w:marBottom w:val="0"/>
      <w:divBdr>
        <w:top w:val="none" w:sz="0" w:space="0" w:color="auto"/>
        <w:left w:val="none" w:sz="0" w:space="0" w:color="auto"/>
        <w:bottom w:val="none" w:sz="0" w:space="0" w:color="auto"/>
        <w:right w:val="none" w:sz="0" w:space="0" w:color="auto"/>
      </w:divBdr>
      <w:divsChild>
        <w:div w:id="87848553">
          <w:marLeft w:val="0"/>
          <w:marRight w:val="0"/>
          <w:marTop w:val="0"/>
          <w:marBottom w:val="0"/>
          <w:divBdr>
            <w:top w:val="none" w:sz="0" w:space="0" w:color="auto"/>
            <w:left w:val="none" w:sz="0" w:space="0" w:color="auto"/>
            <w:bottom w:val="none" w:sz="0" w:space="0" w:color="auto"/>
            <w:right w:val="none" w:sz="0" w:space="0" w:color="auto"/>
          </w:divBdr>
          <w:divsChild>
            <w:div w:id="426854312">
              <w:marLeft w:val="0"/>
              <w:marRight w:val="0"/>
              <w:marTop w:val="0"/>
              <w:marBottom w:val="0"/>
              <w:divBdr>
                <w:top w:val="none" w:sz="0" w:space="0" w:color="auto"/>
                <w:left w:val="none" w:sz="0" w:space="0" w:color="auto"/>
                <w:bottom w:val="none" w:sz="0" w:space="0" w:color="auto"/>
                <w:right w:val="none" w:sz="0" w:space="0" w:color="auto"/>
              </w:divBdr>
              <w:divsChild>
                <w:div w:id="1705861915">
                  <w:marLeft w:val="0"/>
                  <w:marRight w:val="0"/>
                  <w:marTop w:val="0"/>
                  <w:marBottom w:val="0"/>
                  <w:divBdr>
                    <w:top w:val="none" w:sz="0" w:space="0" w:color="auto"/>
                    <w:left w:val="none" w:sz="0" w:space="0" w:color="auto"/>
                    <w:bottom w:val="none" w:sz="0" w:space="0" w:color="auto"/>
                    <w:right w:val="none" w:sz="0" w:space="0" w:color="auto"/>
                  </w:divBdr>
                  <w:divsChild>
                    <w:div w:id="85068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275978">
          <w:marLeft w:val="0"/>
          <w:marRight w:val="0"/>
          <w:marTop w:val="0"/>
          <w:marBottom w:val="0"/>
          <w:divBdr>
            <w:top w:val="none" w:sz="0" w:space="0" w:color="auto"/>
            <w:left w:val="none" w:sz="0" w:space="0" w:color="auto"/>
            <w:bottom w:val="none" w:sz="0" w:space="0" w:color="auto"/>
            <w:right w:val="none" w:sz="0" w:space="0" w:color="auto"/>
          </w:divBdr>
          <w:divsChild>
            <w:div w:id="1194726863">
              <w:marLeft w:val="0"/>
              <w:marRight w:val="0"/>
              <w:marTop w:val="0"/>
              <w:marBottom w:val="0"/>
              <w:divBdr>
                <w:top w:val="none" w:sz="0" w:space="0" w:color="auto"/>
                <w:left w:val="none" w:sz="0" w:space="0" w:color="auto"/>
                <w:bottom w:val="none" w:sz="0" w:space="0" w:color="auto"/>
                <w:right w:val="none" w:sz="0" w:space="0" w:color="auto"/>
              </w:divBdr>
              <w:divsChild>
                <w:div w:id="829322190">
                  <w:marLeft w:val="0"/>
                  <w:marRight w:val="0"/>
                  <w:marTop w:val="0"/>
                  <w:marBottom w:val="0"/>
                  <w:divBdr>
                    <w:top w:val="none" w:sz="0" w:space="0" w:color="auto"/>
                    <w:left w:val="none" w:sz="0" w:space="0" w:color="auto"/>
                    <w:bottom w:val="none" w:sz="0" w:space="0" w:color="auto"/>
                    <w:right w:val="none" w:sz="0" w:space="0" w:color="auto"/>
                  </w:divBdr>
                  <w:divsChild>
                    <w:div w:id="10218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21927">
      <w:bodyDiv w:val="1"/>
      <w:marLeft w:val="0"/>
      <w:marRight w:val="0"/>
      <w:marTop w:val="0"/>
      <w:marBottom w:val="0"/>
      <w:divBdr>
        <w:top w:val="none" w:sz="0" w:space="0" w:color="auto"/>
        <w:left w:val="none" w:sz="0" w:space="0" w:color="auto"/>
        <w:bottom w:val="none" w:sz="0" w:space="0" w:color="auto"/>
        <w:right w:val="none" w:sz="0" w:space="0" w:color="auto"/>
      </w:divBdr>
    </w:div>
    <w:div w:id="902910289">
      <w:bodyDiv w:val="1"/>
      <w:marLeft w:val="0"/>
      <w:marRight w:val="0"/>
      <w:marTop w:val="0"/>
      <w:marBottom w:val="0"/>
      <w:divBdr>
        <w:top w:val="none" w:sz="0" w:space="0" w:color="auto"/>
        <w:left w:val="none" w:sz="0" w:space="0" w:color="auto"/>
        <w:bottom w:val="none" w:sz="0" w:space="0" w:color="auto"/>
        <w:right w:val="none" w:sz="0" w:space="0" w:color="auto"/>
      </w:divBdr>
      <w:divsChild>
        <w:div w:id="683673936">
          <w:marLeft w:val="0"/>
          <w:marRight w:val="0"/>
          <w:marTop w:val="0"/>
          <w:marBottom w:val="0"/>
          <w:divBdr>
            <w:top w:val="none" w:sz="0" w:space="0" w:color="auto"/>
            <w:left w:val="none" w:sz="0" w:space="0" w:color="auto"/>
            <w:bottom w:val="none" w:sz="0" w:space="0" w:color="auto"/>
            <w:right w:val="none" w:sz="0" w:space="0" w:color="auto"/>
          </w:divBdr>
          <w:divsChild>
            <w:div w:id="2089955115">
              <w:marLeft w:val="0"/>
              <w:marRight w:val="0"/>
              <w:marTop w:val="0"/>
              <w:marBottom w:val="0"/>
              <w:divBdr>
                <w:top w:val="none" w:sz="0" w:space="0" w:color="auto"/>
                <w:left w:val="none" w:sz="0" w:space="0" w:color="auto"/>
                <w:bottom w:val="none" w:sz="0" w:space="0" w:color="auto"/>
                <w:right w:val="none" w:sz="0" w:space="0" w:color="auto"/>
              </w:divBdr>
              <w:divsChild>
                <w:div w:id="487743621">
                  <w:marLeft w:val="0"/>
                  <w:marRight w:val="0"/>
                  <w:marTop w:val="0"/>
                  <w:marBottom w:val="0"/>
                  <w:divBdr>
                    <w:top w:val="none" w:sz="0" w:space="0" w:color="auto"/>
                    <w:left w:val="none" w:sz="0" w:space="0" w:color="auto"/>
                    <w:bottom w:val="none" w:sz="0" w:space="0" w:color="auto"/>
                    <w:right w:val="none" w:sz="0" w:space="0" w:color="auto"/>
                  </w:divBdr>
                  <w:divsChild>
                    <w:div w:id="76273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19927">
          <w:marLeft w:val="0"/>
          <w:marRight w:val="0"/>
          <w:marTop w:val="0"/>
          <w:marBottom w:val="0"/>
          <w:divBdr>
            <w:top w:val="none" w:sz="0" w:space="0" w:color="auto"/>
            <w:left w:val="none" w:sz="0" w:space="0" w:color="auto"/>
            <w:bottom w:val="none" w:sz="0" w:space="0" w:color="auto"/>
            <w:right w:val="none" w:sz="0" w:space="0" w:color="auto"/>
          </w:divBdr>
          <w:divsChild>
            <w:div w:id="1891383821">
              <w:marLeft w:val="0"/>
              <w:marRight w:val="0"/>
              <w:marTop w:val="0"/>
              <w:marBottom w:val="0"/>
              <w:divBdr>
                <w:top w:val="none" w:sz="0" w:space="0" w:color="auto"/>
                <w:left w:val="none" w:sz="0" w:space="0" w:color="auto"/>
                <w:bottom w:val="none" w:sz="0" w:space="0" w:color="auto"/>
                <w:right w:val="none" w:sz="0" w:space="0" w:color="auto"/>
              </w:divBdr>
              <w:divsChild>
                <w:div w:id="728307203">
                  <w:marLeft w:val="0"/>
                  <w:marRight w:val="0"/>
                  <w:marTop w:val="0"/>
                  <w:marBottom w:val="0"/>
                  <w:divBdr>
                    <w:top w:val="none" w:sz="0" w:space="0" w:color="auto"/>
                    <w:left w:val="none" w:sz="0" w:space="0" w:color="auto"/>
                    <w:bottom w:val="none" w:sz="0" w:space="0" w:color="auto"/>
                    <w:right w:val="none" w:sz="0" w:space="0" w:color="auto"/>
                  </w:divBdr>
                  <w:divsChild>
                    <w:div w:id="152162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62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951</Words>
  <Characters>4702</Characters>
  <Application>Microsoft Office Word</Application>
  <DocSecurity>0</DocSecurity>
  <Lines>151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PARSHANT DUA</dc:creator>
  <cp:lastModifiedBy>Prashant Dua</cp:lastModifiedBy>
  <cp:revision>10</cp:revision>
  <cp:lastPrinted>2024-05-21T10:20:00Z</cp:lastPrinted>
  <dcterms:created xsi:type="dcterms:W3CDTF">2024-05-21T09:44:00Z</dcterms:created>
  <dcterms:modified xsi:type="dcterms:W3CDTF">2024-05-21T10:48:00Z</dcterms:modified>
</cp:coreProperties>
</file>